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274" w:rsidRPr="002E5CFE" w:rsidRDefault="000D0274" w:rsidP="000D0274">
      <w:pPr>
        <w:pStyle w:val="Nagwek1"/>
        <w:spacing w:before="0" w:beforeAutospacing="0" w:after="0" w:afterAutospacing="0" w:line="360" w:lineRule="auto"/>
        <w:jc w:val="center"/>
        <w:rPr>
          <w:rFonts w:ascii="Times New Roman" w:hAnsi="Times New Roman"/>
          <w:sz w:val="28"/>
          <w:szCs w:val="28"/>
        </w:rPr>
      </w:pPr>
      <w:bookmarkStart w:id="0" w:name="_Toc389602051"/>
      <w:bookmarkStart w:id="1" w:name="_Toc389605811"/>
      <w:bookmarkStart w:id="2" w:name="_Toc390178426"/>
      <w:r w:rsidRPr="002E5CFE">
        <w:rPr>
          <w:rFonts w:ascii="Times New Roman" w:hAnsi="Times New Roman" w:hint="eastAsia"/>
          <w:sz w:val="28"/>
          <w:szCs w:val="28"/>
        </w:rPr>
        <w:t>WARSAW SCHOOL OF ECONOMICS</w:t>
      </w:r>
      <w:bookmarkEnd w:id="0"/>
      <w:bookmarkEnd w:id="1"/>
      <w:bookmarkEnd w:id="2"/>
    </w:p>
    <w:p w:rsidR="000D0274" w:rsidRPr="002E5CFE" w:rsidRDefault="000D0274" w:rsidP="000D0274">
      <w:pPr>
        <w:pStyle w:val="Nagwek1"/>
        <w:spacing w:before="0" w:beforeAutospacing="0" w:after="0" w:afterAutospacing="0" w:line="360" w:lineRule="auto"/>
        <w:jc w:val="center"/>
        <w:rPr>
          <w:rFonts w:ascii="Times New Roman" w:hAnsi="Times New Roman"/>
          <w:sz w:val="28"/>
          <w:szCs w:val="28"/>
        </w:rPr>
      </w:pPr>
      <w:bookmarkStart w:id="3" w:name="_Toc389602052"/>
      <w:bookmarkStart w:id="4" w:name="_Toc389605812"/>
      <w:bookmarkStart w:id="5" w:name="_Toc390178427"/>
      <w:r w:rsidRPr="002E5CFE">
        <w:rPr>
          <w:rFonts w:ascii="Times New Roman" w:hAnsi="Times New Roman" w:hint="eastAsia"/>
          <w:sz w:val="28"/>
          <w:szCs w:val="28"/>
        </w:rPr>
        <w:t>COLLEGIUM OF WORLD ECONOMY</w:t>
      </w:r>
      <w:bookmarkEnd w:id="3"/>
      <w:bookmarkEnd w:id="4"/>
      <w:bookmarkEnd w:id="5"/>
    </w:p>
    <w:p w:rsidR="000D0274" w:rsidRPr="002E5CFE" w:rsidRDefault="000D0274" w:rsidP="000D0274">
      <w:pPr>
        <w:pStyle w:val="Nagwek1"/>
        <w:spacing w:before="0" w:beforeAutospacing="0" w:after="0" w:afterAutospacing="0" w:line="360" w:lineRule="auto"/>
        <w:jc w:val="center"/>
        <w:rPr>
          <w:rFonts w:ascii="Times New Roman" w:hAnsi="Times New Roman"/>
          <w:sz w:val="28"/>
          <w:szCs w:val="28"/>
        </w:rPr>
      </w:pPr>
    </w:p>
    <w:p w:rsidR="000D0274" w:rsidRPr="002E5CFE" w:rsidRDefault="000D0274" w:rsidP="000D0274">
      <w:pPr>
        <w:pStyle w:val="Nagwek1"/>
        <w:spacing w:before="0" w:beforeAutospacing="0" w:after="0" w:afterAutospacing="0" w:line="360" w:lineRule="auto"/>
        <w:jc w:val="center"/>
        <w:rPr>
          <w:rFonts w:ascii="Times New Roman" w:hAnsi="Times New Roman"/>
          <w:sz w:val="28"/>
          <w:szCs w:val="28"/>
        </w:rPr>
      </w:pPr>
    </w:p>
    <w:p w:rsidR="000D0274" w:rsidRPr="002E5CFE" w:rsidRDefault="000D0274" w:rsidP="000D0274">
      <w:pPr>
        <w:pStyle w:val="Nagwek1"/>
        <w:spacing w:before="0" w:beforeAutospacing="0" w:after="0" w:afterAutospacing="0" w:line="360" w:lineRule="auto"/>
        <w:rPr>
          <w:rFonts w:ascii="Times New Roman" w:hAnsi="Times New Roman"/>
          <w:sz w:val="28"/>
          <w:szCs w:val="28"/>
        </w:rPr>
      </w:pPr>
    </w:p>
    <w:p w:rsidR="000D0274" w:rsidRPr="002E5CFE" w:rsidRDefault="000D0274" w:rsidP="000D0274">
      <w:pPr>
        <w:pStyle w:val="Nagwek1"/>
        <w:spacing w:before="0" w:beforeAutospacing="0" w:after="0" w:afterAutospacing="0" w:line="360" w:lineRule="auto"/>
        <w:jc w:val="center"/>
        <w:rPr>
          <w:rFonts w:ascii="Times New Roman" w:hAnsi="Times New Roman"/>
          <w:sz w:val="28"/>
          <w:szCs w:val="28"/>
        </w:rPr>
      </w:pPr>
    </w:p>
    <w:p w:rsidR="000D0274" w:rsidRPr="002E5CFE" w:rsidRDefault="000D0274" w:rsidP="000D0274">
      <w:pPr>
        <w:pStyle w:val="Nagwek1"/>
        <w:spacing w:before="0" w:beforeAutospacing="0" w:after="0" w:afterAutospacing="0" w:line="360" w:lineRule="auto"/>
        <w:jc w:val="center"/>
        <w:rPr>
          <w:rFonts w:ascii="Times New Roman" w:hAnsi="Times New Roman"/>
          <w:sz w:val="28"/>
          <w:szCs w:val="28"/>
        </w:rPr>
      </w:pPr>
      <w:bookmarkStart w:id="6" w:name="_Toc389602053"/>
      <w:bookmarkStart w:id="7" w:name="_Toc389605813"/>
      <w:bookmarkStart w:id="8" w:name="_Toc390178428"/>
      <w:r w:rsidRPr="002E5CFE">
        <w:rPr>
          <w:rFonts w:ascii="Times New Roman" w:hAnsi="Times New Roman" w:hint="eastAsia"/>
          <w:sz w:val="28"/>
          <w:szCs w:val="28"/>
        </w:rPr>
        <w:t>Yinan LIU</w:t>
      </w:r>
      <w:bookmarkEnd w:id="6"/>
      <w:bookmarkEnd w:id="7"/>
      <w:bookmarkEnd w:id="8"/>
    </w:p>
    <w:p w:rsidR="000D0274" w:rsidRPr="002E5CFE" w:rsidRDefault="000D0274" w:rsidP="000D0274">
      <w:pPr>
        <w:pStyle w:val="Nagwek1"/>
        <w:spacing w:before="0" w:beforeAutospacing="0" w:after="0" w:afterAutospacing="0" w:line="360" w:lineRule="auto"/>
        <w:jc w:val="center"/>
        <w:rPr>
          <w:rFonts w:ascii="Times New Roman" w:hAnsi="Times New Roman"/>
          <w:sz w:val="28"/>
          <w:szCs w:val="28"/>
        </w:rPr>
      </w:pPr>
    </w:p>
    <w:p w:rsidR="000D0274" w:rsidRPr="002E5CFE" w:rsidRDefault="000D0274" w:rsidP="000D0274">
      <w:pPr>
        <w:pStyle w:val="Nagwek1"/>
        <w:spacing w:before="0" w:beforeAutospacing="0" w:after="0" w:afterAutospacing="0" w:line="360" w:lineRule="auto"/>
        <w:jc w:val="center"/>
        <w:rPr>
          <w:rFonts w:ascii="Times New Roman" w:hAnsi="Times New Roman"/>
          <w:sz w:val="28"/>
          <w:szCs w:val="28"/>
        </w:rPr>
      </w:pPr>
    </w:p>
    <w:p w:rsidR="000D0274" w:rsidRPr="002E5CFE" w:rsidRDefault="000D0274" w:rsidP="000D0274">
      <w:pPr>
        <w:pStyle w:val="Nagwek1"/>
        <w:spacing w:before="0" w:beforeAutospacing="0" w:after="0" w:afterAutospacing="0" w:line="360" w:lineRule="auto"/>
        <w:jc w:val="center"/>
        <w:rPr>
          <w:rFonts w:ascii="Times New Roman" w:hAnsi="Times New Roman"/>
          <w:sz w:val="28"/>
          <w:szCs w:val="28"/>
        </w:rPr>
      </w:pPr>
      <w:bookmarkStart w:id="9" w:name="_Toc389602054"/>
      <w:bookmarkStart w:id="10" w:name="_Toc389605814"/>
      <w:bookmarkStart w:id="11" w:name="_Toc390178429"/>
      <w:r w:rsidRPr="002E5CFE">
        <w:rPr>
          <w:rFonts w:ascii="Times New Roman" w:hAnsi="Times New Roman" w:hint="eastAsia"/>
          <w:sz w:val="28"/>
          <w:szCs w:val="28"/>
        </w:rPr>
        <w:t>THE INFLUENCE OF CHINA</w:t>
      </w:r>
      <w:r w:rsidRPr="002E5CFE">
        <w:rPr>
          <w:rFonts w:ascii="Times New Roman" w:hAnsi="Times New Roman"/>
          <w:sz w:val="28"/>
          <w:szCs w:val="28"/>
        </w:rPr>
        <w:t>’</w:t>
      </w:r>
      <w:r w:rsidRPr="002E5CFE">
        <w:rPr>
          <w:rFonts w:ascii="Times New Roman" w:hAnsi="Times New Roman" w:hint="eastAsia"/>
          <w:sz w:val="28"/>
          <w:szCs w:val="28"/>
        </w:rPr>
        <w:t>S ACCESSION TO THE WTO</w:t>
      </w:r>
    </w:p>
    <w:p w:rsidR="000D0274" w:rsidRPr="002E5CFE" w:rsidRDefault="000D0274" w:rsidP="000D0274">
      <w:pPr>
        <w:pStyle w:val="Nagwek1"/>
        <w:spacing w:before="0" w:beforeAutospacing="0" w:after="0" w:afterAutospacing="0" w:line="360" w:lineRule="auto"/>
        <w:jc w:val="center"/>
        <w:rPr>
          <w:rFonts w:ascii="Times New Roman" w:hAnsi="Times New Roman"/>
          <w:sz w:val="28"/>
          <w:szCs w:val="28"/>
        </w:rPr>
      </w:pPr>
      <w:r w:rsidRPr="002E5CFE">
        <w:rPr>
          <w:rFonts w:ascii="Times New Roman" w:hAnsi="Times New Roman" w:hint="eastAsia"/>
          <w:sz w:val="28"/>
          <w:szCs w:val="28"/>
        </w:rPr>
        <w:t>ON EU ANTIDUMPING ACTIONS AGAINST CHINESE PRODUCTS</w:t>
      </w:r>
      <w:bookmarkEnd w:id="9"/>
      <w:bookmarkEnd w:id="10"/>
      <w:bookmarkEnd w:id="11"/>
    </w:p>
    <w:p w:rsidR="000D0274" w:rsidRDefault="000D0274" w:rsidP="000D0274">
      <w:pPr>
        <w:spacing w:line="360" w:lineRule="auto"/>
        <w:jc w:val="center"/>
        <w:rPr>
          <w:sz w:val="24"/>
        </w:rPr>
      </w:pPr>
    </w:p>
    <w:p w:rsidR="000D0274" w:rsidRDefault="000D0274" w:rsidP="000D0274">
      <w:pPr>
        <w:spacing w:line="360" w:lineRule="auto"/>
        <w:jc w:val="center"/>
        <w:rPr>
          <w:sz w:val="24"/>
        </w:rPr>
      </w:pPr>
    </w:p>
    <w:p w:rsidR="000D0274" w:rsidRDefault="000D0274" w:rsidP="000D0274">
      <w:pPr>
        <w:spacing w:line="360" w:lineRule="auto"/>
        <w:jc w:val="center"/>
        <w:rPr>
          <w:sz w:val="24"/>
        </w:rPr>
      </w:pPr>
    </w:p>
    <w:p w:rsidR="000D0274" w:rsidRPr="00E26EED" w:rsidRDefault="000D0274" w:rsidP="000D0274">
      <w:pPr>
        <w:spacing w:line="360" w:lineRule="auto"/>
        <w:jc w:val="center"/>
        <w:rPr>
          <w:i/>
          <w:sz w:val="28"/>
          <w:szCs w:val="28"/>
        </w:rPr>
      </w:pPr>
      <w:r w:rsidRPr="00E26EED">
        <w:rPr>
          <w:rFonts w:hint="eastAsia"/>
          <w:i/>
          <w:sz w:val="28"/>
          <w:szCs w:val="28"/>
        </w:rPr>
        <w:t>PhD dissertation</w:t>
      </w:r>
    </w:p>
    <w:p w:rsidR="000D0274" w:rsidRPr="00E26EED" w:rsidRDefault="000D0274" w:rsidP="000D0274">
      <w:pPr>
        <w:spacing w:line="360" w:lineRule="auto"/>
        <w:jc w:val="right"/>
        <w:rPr>
          <w:sz w:val="28"/>
          <w:szCs w:val="28"/>
        </w:rPr>
      </w:pPr>
    </w:p>
    <w:p w:rsidR="000D0274" w:rsidRPr="00E26EED" w:rsidRDefault="000D0274" w:rsidP="000D0274">
      <w:pPr>
        <w:spacing w:line="360" w:lineRule="auto"/>
        <w:jc w:val="right"/>
        <w:rPr>
          <w:sz w:val="28"/>
          <w:szCs w:val="28"/>
        </w:rPr>
      </w:pPr>
    </w:p>
    <w:p w:rsidR="000D0274" w:rsidRPr="00E26EED" w:rsidRDefault="000D0274" w:rsidP="000D0274">
      <w:pPr>
        <w:spacing w:line="360" w:lineRule="auto"/>
        <w:jc w:val="right"/>
        <w:rPr>
          <w:sz w:val="28"/>
          <w:szCs w:val="28"/>
        </w:rPr>
      </w:pPr>
      <w:r w:rsidRPr="00E26EED">
        <w:rPr>
          <w:rFonts w:hint="eastAsia"/>
          <w:sz w:val="28"/>
          <w:szCs w:val="28"/>
        </w:rPr>
        <w:t>Supervisor</w:t>
      </w:r>
    </w:p>
    <w:p w:rsidR="000D0274" w:rsidRPr="00E26EED" w:rsidRDefault="000D0274" w:rsidP="000D0274">
      <w:pPr>
        <w:spacing w:line="360" w:lineRule="auto"/>
        <w:jc w:val="right"/>
        <w:rPr>
          <w:sz w:val="28"/>
          <w:szCs w:val="28"/>
        </w:rPr>
      </w:pPr>
      <w:r w:rsidRPr="00E26EED">
        <w:rPr>
          <w:sz w:val="28"/>
          <w:szCs w:val="28"/>
        </w:rPr>
        <w:t>P</w:t>
      </w:r>
      <w:r w:rsidRPr="00E26EED">
        <w:rPr>
          <w:rFonts w:hint="eastAsia"/>
          <w:sz w:val="28"/>
          <w:szCs w:val="28"/>
        </w:rPr>
        <w:t>rof. dr hab. El</w:t>
      </w:r>
      <w:r w:rsidR="00454943">
        <w:rPr>
          <w:rFonts w:ascii="MS Mincho" w:eastAsia="MS Mincho" w:hAnsi="MS Mincho" w:cs="MS Mincho"/>
          <w:sz w:val="28"/>
          <w:szCs w:val="28"/>
        </w:rPr>
        <w:t>ż</w:t>
      </w:r>
      <w:r w:rsidRPr="00E26EED">
        <w:rPr>
          <w:rFonts w:hint="eastAsia"/>
          <w:sz w:val="28"/>
          <w:szCs w:val="28"/>
        </w:rPr>
        <w:t xml:space="preserve">bieta </w:t>
      </w:r>
      <w:proofErr w:type="spellStart"/>
      <w:r w:rsidRPr="00E26EED">
        <w:rPr>
          <w:rFonts w:hint="eastAsia"/>
          <w:sz w:val="28"/>
          <w:szCs w:val="28"/>
        </w:rPr>
        <w:t>Kawecka-Wyrzykowska</w:t>
      </w:r>
      <w:proofErr w:type="spellEnd"/>
    </w:p>
    <w:p w:rsidR="000D0274" w:rsidRPr="00E26EED" w:rsidRDefault="000D0274" w:rsidP="000D0274">
      <w:pPr>
        <w:spacing w:line="360" w:lineRule="auto"/>
        <w:jc w:val="center"/>
        <w:rPr>
          <w:sz w:val="28"/>
          <w:szCs w:val="28"/>
        </w:rPr>
      </w:pPr>
    </w:p>
    <w:p w:rsidR="000D0274" w:rsidRPr="00E26EED" w:rsidRDefault="000D0274" w:rsidP="000D0274">
      <w:pPr>
        <w:spacing w:line="360" w:lineRule="auto"/>
        <w:jc w:val="center"/>
        <w:rPr>
          <w:sz w:val="28"/>
          <w:szCs w:val="28"/>
        </w:rPr>
      </w:pPr>
    </w:p>
    <w:p w:rsidR="000D0274" w:rsidRPr="00E26EED" w:rsidRDefault="000D0274" w:rsidP="000D0274">
      <w:pPr>
        <w:spacing w:line="360" w:lineRule="auto"/>
        <w:jc w:val="center"/>
        <w:rPr>
          <w:sz w:val="28"/>
          <w:szCs w:val="28"/>
        </w:rPr>
      </w:pPr>
      <w:r w:rsidRPr="00E26EED">
        <w:rPr>
          <w:rFonts w:hint="eastAsia"/>
          <w:sz w:val="28"/>
          <w:szCs w:val="28"/>
        </w:rPr>
        <w:t>Warsaw, 2014</w:t>
      </w:r>
    </w:p>
    <w:p w:rsidR="000D0274" w:rsidRDefault="000D0274" w:rsidP="000D0274">
      <w:pPr>
        <w:pStyle w:val="Nagwek1"/>
        <w:spacing w:before="0" w:after="0" w:line="360" w:lineRule="auto"/>
        <w:jc w:val="center"/>
        <w:rPr>
          <w:rFonts w:ascii="Times New Roman" w:hAnsi="Times New Roman"/>
          <w:sz w:val="24"/>
          <w:szCs w:val="32"/>
        </w:rPr>
      </w:pPr>
      <w:bookmarkStart w:id="12" w:name="_Toc389602055"/>
      <w:bookmarkStart w:id="13" w:name="_Toc390178430"/>
      <w:r>
        <w:rPr>
          <w:rFonts w:ascii="Times New Roman" w:hAnsi="Times New Roman"/>
          <w:sz w:val="24"/>
          <w:szCs w:val="32"/>
        </w:rPr>
        <w:br w:type="page"/>
      </w:r>
    </w:p>
    <w:p w:rsidR="00F4695B" w:rsidRDefault="00F4695B" w:rsidP="000D0274">
      <w:pPr>
        <w:pStyle w:val="Nagwek1"/>
        <w:spacing w:before="0" w:after="0" w:line="360" w:lineRule="auto"/>
        <w:jc w:val="center"/>
        <w:rPr>
          <w:rFonts w:ascii="Times New Roman" w:hAnsi="Times New Roman"/>
          <w:sz w:val="28"/>
          <w:szCs w:val="28"/>
        </w:rPr>
      </w:pPr>
    </w:p>
    <w:p w:rsidR="000D0274" w:rsidRPr="00E7500D" w:rsidRDefault="000D0274" w:rsidP="000D0274">
      <w:pPr>
        <w:pStyle w:val="Nagwek1"/>
        <w:spacing w:before="0" w:after="0" w:line="360" w:lineRule="auto"/>
        <w:jc w:val="center"/>
        <w:rPr>
          <w:rFonts w:ascii="Times New Roman" w:hAnsi="Times New Roman"/>
          <w:sz w:val="28"/>
          <w:szCs w:val="28"/>
        </w:rPr>
      </w:pPr>
      <w:r w:rsidRPr="00E7500D">
        <w:rPr>
          <w:rFonts w:ascii="Times New Roman" w:hAnsi="Times New Roman" w:hint="eastAsia"/>
          <w:sz w:val="28"/>
          <w:szCs w:val="28"/>
        </w:rPr>
        <w:t>ABSTRACT</w:t>
      </w:r>
      <w:bookmarkEnd w:id="12"/>
      <w:bookmarkEnd w:id="13"/>
    </w:p>
    <w:p w:rsidR="000D0274" w:rsidRDefault="000D0274" w:rsidP="00F4695B">
      <w:pPr>
        <w:pStyle w:val="bodytext"/>
        <w:spacing w:before="0" w:beforeAutospacing="0" w:after="0" w:afterAutospacing="0" w:line="360" w:lineRule="auto"/>
        <w:ind w:firstLine="420"/>
        <w:jc w:val="both"/>
        <w:rPr>
          <w:rFonts w:eastAsia="AGaramondPro-Bold"/>
          <w:lang w:val="en-US"/>
        </w:rPr>
      </w:pPr>
      <w:r w:rsidRPr="00257BF1">
        <w:rPr>
          <w:rFonts w:hint="eastAsia"/>
          <w:lang w:val="en-US"/>
        </w:rPr>
        <w:t xml:space="preserve">The world economic globalization and development of bilateral trade relations </w:t>
      </w:r>
      <w:r w:rsidRPr="00257BF1">
        <w:rPr>
          <w:lang w:val="en-US"/>
        </w:rPr>
        <w:t>not only deepens mutual interdependence among countries, but also raises their conflicts and frictions.</w:t>
      </w:r>
      <w:r w:rsidRPr="00257BF1">
        <w:rPr>
          <w:rFonts w:eastAsia="TimesNewRomanPSMT"/>
          <w:bCs/>
          <w:lang w:val="en-US"/>
        </w:rPr>
        <w:t xml:space="preserve"> Due to the rapid growth of </w:t>
      </w:r>
      <w:r w:rsidRPr="00257BF1">
        <w:rPr>
          <w:lang w:val="en-US"/>
        </w:rPr>
        <w:t>EU</w:t>
      </w:r>
      <w:r>
        <w:rPr>
          <w:lang w:val="en-US"/>
        </w:rPr>
        <w:t xml:space="preserve"> imports from </w:t>
      </w:r>
      <w:r w:rsidRPr="00257BF1">
        <w:rPr>
          <w:lang w:val="en-US"/>
        </w:rPr>
        <w:t>China</w:t>
      </w:r>
      <w:r w:rsidRPr="00257BF1">
        <w:rPr>
          <w:rFonts w:hint="eastAsia"/>
          <w:lang w:val="en-US"/>
        </w:rPr>
        <w:t xml:space="preserve"> </w:t>
      </w:r>
      <w:r w:rsidRPr="00257BF1">
        <w:rPr>
          <w:rFonts w:eastAsia="TimesNewRomanPSMT"/>
          <w:bCs/>
          <w:lang w:val="en-US"/>
        </w:rPr>
        <w:t xml:space="preserve">and </w:t>
      </w:r>
      <w:r w:rsidRPr="00257BF1">
        <w:rPr>
          <w:rFonts w:eastAsia="TimesNewRomanPSMT" w:hint="eastAsia"/>
          <w:bCs/>
          <w:lang w:val="en-US"/>
        </w:rPr>
        <w:t xml:space="preserve">the </w:t>
      </w:r>
      <w:r w:rsidRPr="00257BF1">
        <w:rPr>
          <w:rFonts w:eastAsia="TimesNewRomanPSMT"/>
          <w:bCs/>
          <w:lang w:val="en-US"/>
        </w:rPr>
        <w:t>worsening of trade imbalance</w:t>
      </w:r>
      <w:r w:rsidRPr="00257BF1">
        <w:rPr>
          <w:rFonts w:eastAsia="TimesNewRomanPSMT" w:hint="eastAsia"/>
          <w:bCs/>
          <w:lang w:val="en-US"/>
        </w:rPr>
        <w:t xml:space="preserve"> for EU</w:t>
      </w:r>
      <w:r w:rsidRPr="00257BF1">
        <w:rPr>
          <w:rFonts w:eastAsia="TimesNewRomanPSMT"/>
          <w:bCs/>
          <w:lang w:val="en-US"/>
        </w:rPr>
        <w:t xml:space="preserve">, bilateral trade conflicts </w:t>
      </w:r>
      <w:r w:rsidRPr="00257BF1">
        <w:rPr>
          <w:rFonts w:eastAsia="TimesNewRomanPSMT" w:hint="eastAsia"/>
          <w:bCs/>
          <w:lang w:val="en-US"/>
        </w:rPr>
        <w:t xml:space="preserve">have </w:t>
      </w:r>
      <w:r w:rsidRPr="00257BF1">
        <w:rPr>
          <w:rFonts w:eastAsia="TimesNewRomanPSMT"/>
          <w:bCs/>
          <w:lang w:val="en-US"/>
        </w:rPr>
        <w:t>become more and more intense</w:t>
      </w:r>
      <w:r w:rsidRPr="00257BF1">
        <w:rPr>
          <w:rFonts w:eastAsia="TimesNewRomanPSMT" w:hint="eastAsia"/>
          <w:bCs/>
          <w:lang w:val="en-US"/>
        </w:rPr>
        <w:t xml:space="preserve">. </w:t>
      </w:r>
      <w:r w:rsidRPr="00257BF1">
        <w:rPr>
          <w:lang w:val="en-US"/>
        </w:rPr>
        <w:t>As the importance of tariffs in international trade has declined with the reduction of tariff rates under the GATT/WTO rounds of multilateral trade liberalization,</w:t>
      </w:r>
      <w:r w:rsidRPr="00257BF1">
        <w:rPr>
          <w:rFonts w:hint="eastAsia"/>
          <w:lang w:val="en-US"/>
        </w:rPr>
        <w:t xml:space="preserve"> antidumping has become</w:t>
      </w:r>
      <w:r>
        <w:rPr>
          <w:lang w:val="en-US"/>
        </w:rPr>
        <w:t xml:space="preserve"> the instrument</w:t>
      </w:r>
      <w:r w:rsidRPr="00257BF1">
        <w:rPr>
          <w:lang w:val="en-US"/>
        </w:rPr>
        <w:t xml:space="preserve"> of protection of domestic markets of GATT/WTO members</w:t>
      </w:r>
      <w:r w:rsidRPr="00257BF1">
        <w:rPr>
          <w:rFonts w:hint="eastAsia"/>
          <w:lang w:val="en-US"/>
        </w:rPr>
        <w:t xml:space="preserve"> and </w:t>
      </w:r>
      <w:r>
        <w:rPr>
          <w:lang w:val="en-US"/>
        </w:rPr>
        <w:t xml:space="preserve">numerous </w:t>
      </w:r>
      <w:r w:rsidRPr="00257BF1">
        <w:rPr>
          <w:rFonts w:hint="eastAsia"/>
          <w:lang w:val="en-US"/>
        </w:rPr>
        <w:t xml:space="preserve">research results show that it </w:t>
      </w:r>
      <w:r>
        <w:rPr>
          <w:lang w:val="en-US"/>
        </w:rPr>
        <w:t xml:space="preserve">has </w:t>
      </w:r>
      <w:r w:rsidRPr="00257BF1">
        <w:rPr>
          <w:rFonts w:hint="eastAsia"/>
          <w:lang w:val="en-US"/>
        </w:rPr>
        <w:t>become the world</w:t>
      </w:r>
      <w:r w:rsidRPr="00257BF1">
        <w:rPr>
          <w:lang w:val="en-US"/>
        </w:rPr>
        <w:t>’</w:t>
      </w:r>
      <w:r w:rsidRPr="00257BF1">
        <w:rPr>
          <w:rFonts w:hint="eastAsia"/>
          <w:lang w:val="en-US"/>
        </w:rPr>
        <w:t xml:space="preserve">s </w:t>
      </w:r>
      <w:r>
        <w:rPr>
          <w:lang w:val="en-US"/>
        </w:rPr>
        <w:t xml:space="preserve">important </w:t>
      </w:r>
      <w:r w:rsidRPr="00257BF1">
        <w:rPr>
          <w:rFonts w:hint="eastAsia"/>
          <w:lang w:val="en-US"/>
        </w:rPr>
        <w:t>trade impediment.</w:t>
      </w:r>
      <w:r w:rsidRPr="00257BF1">
        <w:rPr>
          <w:rFonts w:eastAsia="AGaramondPro-Bold"/>
          <w:lang w:val="en-US"/>
        </w:rPr>
        <w:t xml:space="preserve"> </w:t>
      </w:r>
      <w:r>
        <w:rPr>
          <w:rFonts w:eastAsia="AGaramondPro-Bold"/>
          <w:lang w:val="en-US"/>
        </w:rPr>
        <w:t xml:space="preserve">At the same time, China has become the main target of EU antidumping actions. </w:t>
      </w:r>
    </w:p>
    <w:p w:rsidR="000D0274" w:rsidRDefault="000D0274" w:rsidP="000D0274">
      <w:pPr>
        <w:pStyle w:val="bodytext"/>
        <w:spacing w:before="0" w:beforeAutospacing="0" w:after="0" w:afterAutospacing="0" w:line="360" w:lineRule="auto"/>
        <w:ind w:firstLine="420"/>
        <w:jc w:val="both"/>
        <w:rPr>
          <w:lang w:val="en-US"/>
        </w:rPr>
      </w:pPr>
      <w:r w:rsidRPr="00257BF1">
        <w:rPr>
          <w:rFonts w:eastAsia="AGaramondPro-Bold"/>
          <w:lang w:val="en-US"/>
        </w:rPr>
        <w:t>While extensive literature attempts to explain the issue of antidumping as such and welfare effects of antidumping policy in the importing countries, there has been not much research undertaken to explain implications of China’s accession to WTO on the policy of AD users</w:t>
      </w:r>
      <w:r w:rsidR="00D93942">
        <w:rPr>
          <w:rFonts w:eastAsia="AGaramondPro-Bold"/>
          <w:lang w:val="en-US"/>
        </w:rPr>
        <w:t>. T</w:t>
      </w:r>
      <w:r w:rsidR="0067120C">
        <w:rPr>
          <w:rFonts w:eastAsia="AGaramondPro-Bold"/>
          <w:lang w:val="en-US"/>
        </w:rPr>
        <w:t>he key principle of WTO is nondiscrimination but China is subject to specific, discriminatory treatment under WTO</w:t>
      </w:r>
      <w:r w:rsidRPr="00257BF1">
        <w:rPr>
          <w:rFonts w:eastAsia="AGaramondPro-Bold"/>
          <w:lang w:val="en-US"/>
        </w:rPr>
        <w:t xml:space="preserve">. In other words, it’s not clear whether WTO accession has reduced the intensity of AD actions or not. It’s not clear either, what may be the other reasons than WTO rules behind frequent use by EU of </w:t>
      </w:r>
      <w:r>
        <w:rPr>
          <w:rFonts w:eastAsia="AGaramondPro-Bold"/>
          <w:lang w:val="en-US"/>
        </w:rPr>
        <w:t>antidumping</w:t>
      </w:r>
      <w:r w:rsidRPr="00257BF1">
        <w:rPr>
          <w:rFonts w:eastAsia="AGaramondPro-Bold"/>
          <w:lang w:val="en-US"/>
        </w:rPr>
        <w:t xml:space="preserve"> against Chinese products. </w:t>
      </w:r>
      <w:r w:rsidRPr="00257BF1">
        <w:rPr>
          <w:rFonts w:hint="eastAsia"/>
          <w:lang w:val="en-US"/>
        </w:rPr>
        <w:t xml:space="preserve">This research attempts to contribute to the literature by answering above research problems. </w:t>
      </w:r>
    </w:p>
    <w:p w:rsidR="0067120C" w:rsidRDefault="000D0274" w:rsidP="000D0274">
      <w:pPr>
        <w:pStyle w:val="bodytext"/>
        <w:spacing w:before="0" w:beforeAutospacing="0" w:after="0" w:afterAutospacing="0" w:line="360" w:lineRule="auto"/>
        <w:ind w:firstLine="420"/>
        <w:jc w:val="both"/>
        <w:rPr>
          <w:lang w:val="en-US"/>
        </w:rPr>
      </w:pPr>
      <w:r w:rsidRPr="00257BF1">
        <w:rPr>
          <w:rFonts w:hint="eastAsia"/>
          <w:lang w:val="en-US"/>
        </w:rPr>
        <w:t xml:space="preserve">The dissertation consists of four chapters. </w:t>
      </w:r>
      <w:r w:rsidRPr="00257BF1">
        <w:rPr>
          <w:lang w:val="en-US"/>
        </w:rPr>
        <w:t>Chapter I attempt</w:t>
      </w:r>
      <w:r>
        <w:rPr>
          <w:lang w:val="en-US"/>
        </w:rPr>
        <w:t>s</w:t>
      </w:r>
      <w:r w:rsidRPr="00257BF1">
        <w:rPr>
          <w:lang w:val="en-US"/>
        </w:rPr>
        <w:t xml:space="preserve"> to offer a theoretical framework for the research. It reviews how existing economic literature has explained the phenomenon of dumping. Based on the definition and classification of dumping it discusses firms’ incentives for dumping. It also introduces theoretical arguments for and against antidumping actions. Chapter II discusses dumping and antidumping under WTO and EU laws and China’s motives to obtain WTO membership. Chapter III intends to analyze and interpret the trends of exports from China, subject to the EU’s antidumping action</w:t>
      </w:r>
      <w:r>
        <w:rPr>
          <w:lang w:val="en-US"/>
        </w:rPr>
        <w:t>s</w:t>
      </w:r>
      <w:r w:rsidRPr="00257BF1">
        <w:rPr>
          <w:lang w:val="en-US"/>
        </w:rPr>
        <w:t>, and determinants of those trends. Chapter IV is a concluding chapter addressing the future of EU AD policy against China. In particular, the prospects of elimination of the non-market status of China in WTO in the context of more general evolution of institutional relations between EU and China are discussed.</w:t>
      </w:r>
      <w:r w:rsidRPr="00257BF1">
        <w:rPr>
          <w:rFonts w:hint="eastAsia"/>
          <w:lang w:val="en-US"/>
        </w:rPr>
        <w:t xml:space="preserve"> The summary and conclusions are presented in the end of the dissertation. The findings of the research suggest that </w:t>
      </w:r>
      <w:r w:rsidRPr="002E0391">
        <w:rPr>
          <w:lang w:val="en-US"/>
        </w:rPr>
        <w:t xml:space="preserve">the intensive use of antidumping in the future may have negative long-run consequences for the competitiveness of EU firms. Greater </w:t>
      </w:r>
      <w:r w:rsidRPr="002E0391">
        <w:rPr>
          <w:lang w:val="en-US"/>
        </w:rPr>
        <w:lastRenderedPageBreak/>
        <w:t xml:space="preserve">awareness of this fact and more empirical studies on the scope of this phenomenon should result in less eager use of antidumping measures by EU authorities and lower interest of EU firms to refer to antidumping. In a more general way, we may say that trade competition and regional trade protection made globalization and creation of global production chains new factors which may </w:t>
      </w:r>
      <w:r>
        <w:rPr>
          <w:lang w:val="en-US"/>
        </w:rPr>
        <w:t xml:space="preserve">make the EU </w:t>
      </w:r>
      <w:r w:rsidRPr="002E0391">
        <w:rPr>
          <w:lang w:val="en-US"/>
        </w:rPr>
        <w:t xml:space="preserve">in the future </w:t>
      </w:r>
      <w:r>
        <w:rPr>
          <w:lang w:val="en-US"/>
        </w:rPr>
        <w:t xml:space="preserve">less interested in the </w:t>
      </w:r>
      <w:r w:rsidRPr="002E0391">
        <w:rPr>
          <w:lang w:val="en-US"/>
        </w:rPr>
        <w:t xml:space="preserve">antidumping actions against its trade partners. </w:t>
      </w:r>
    </w:p>
    <w:p w:rsidR="0067120C" w:rsidRDefault="0067120C">
      <w:pPr>
        <w:widowControl/>
        <w:spacing w:after="200" w:line="276" w:lineRule="auto"/>
        <w:jc w:val="left"/>
        <w:rPr>
          <w:kern w:val="0"/>
          <w:sz w:val="24"/>
          <w:lang w:eastAsia="pl-PL"/>
        </w:rPr>
      </w:pPr>
      <w:r>
        <w:br w:type="page"/>
      </w:r>
    </w:p>
    <w:sectPr w:rsidR="0067120C" w:rsidSect="00205AC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GaramondPro-Bold">
    <w:altName w:val="宋体"/>
    <w:charset w:val="86"/>
    <w:family w:val="roman"/>
    <w:pitch w:val="default"/>
    <w:sig w:usb0="00000000" w:usb1="00000000" w:usb2="00000000" w:usb3="00000000" w:csb0="00000000" w:csb1="00000000"/>
  </w:font>
  <w:font w:name="TimesNewRomanPS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0D0274"/>
    <w:rsid w:val="00000C30"/>
    <w:rsid w:val="000D0274"/>
    <w:rsid w:val="00205AC8"/>
    <w:rsid w:val="002E18AD"/>
    <w:rsid w:val="003433B6"/>
    <w:rsid w:val="003A3B2C"/>
    <w:rsid w:val="00433B81"/>
    <w:rsid w:val="00454943"/>
    <w:rsid w:val="004E2F76"/>
    <w:rsid w:val="00530927"/>
    <w:rsid w:val="006105D2"/>
    <w:rsid w:val="0067120C"/>
    <w:rsid w:val="0072338E"/>
    <w:rsid w:val="00974780"/>
    <w:rsid w:val="009A632F"/>
    <w:rsid w:val="00D93942"/>
    <w:rsid w:val="00E320C2"/>
    <w:rsid w:val="00F4695B"/>
    <w:rsid w:val="00F61E8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0274"/>
    <w:pPr>
      <w:widowControl w:val="0"/>
      <w:spacing w:after="0" w:line="240" w:lineRule="auto"/>
      <w:jc w:val="both"/>
    </w:pPr>
    <w:rPr>
      <w:rFonts w:ascii="Times New Roman" w:eastAsia="SimSun" w:hAnsi="Times New Roman" w:cs="Times New Roman"/>
      <w:kern w:val="2"/>
      <w:sz w:val="21"/>
      <w:szCs w:val="24"/>
      <w:lang w:val="en-US" w:eastAsia="zh-CN"/>
    </w:rPr>
  </w:style>
  <w:style w:type="paragraph" w:styleId="Nagwek1">
    <w:name w:val="heading 1"/>
    <w:basedOn w:val="Normalny"/>
    <w:link w:val="Nagwek1Znak"/>
    <w:qFormat/>
    <w:rsid w:val="000D0274"/>
    <w:pPr>
      <w:widowControl/>
      <w:spacing w:before="100" w:beforeAutospacing="1" w:after="100" w:afterAutospacing="1"/>
      <w:jc w:val="left"/>
      <w:outlineLvl w:val="0"/>
    </w:pPr>
    <w:rPr>
      <w:rFonts w:ascii="SimSun" w:hAnsi="SimSu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D0274"/>
    <w:rPr>
      <w:rFonts w:ascii="SimSun" w:eastAsia="SimSun" w:hAnsi="SimSun" w:cs="Times New Roman"/>
      <w:b/>
      <w:bCs/>
      <w:kern w:val="36"/>
      <w:sz w:val="48"/>
      <w:szCs w:val="48"/>
      <w:lang w:val="en-US" w:eastAsia="zh-CN"/>
    </w:rPr>
  </w:style>
  <w:style w:type="paragraph" w:customStyle="1" w:styleId="bodytext">
    <w:name w:val="bodytext"/>
    <w:basedOn w:val="Normalny"/>
    <w:semiHidden/>
    <w:rsid w:val="000D0274"/>
    <w:pPr>
      <w:widowControl/>
      <w:spacing w:before="100" w:beforeAutospacing="1" w:after="100" w:afterAutospacing="1"/>
      <w:jc w:val="left"/>
    </w:pPr>
    <w:rPr>
      <w:kern w:val="0"/>
      <w:sz w:val="24"/>
      <w:lang w:val="pl-PL"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486</Words>
  <Characters>2917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SGH</Company>
  <LinksUpToDate>false</LinksUpToDate>
  <CharactersWithSpaces>3397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Kawecka-Wyrzykowska</dc:creator>
  <cp:lastModifiedBy>jgorsk1</cp:lastModifiedBy>
  <cp:revision>4</cp:revision>
  <dcterms:created xsi:type="dcterms:W3CDTF">2014-06-25T13:24:00Z</dcterms:created>
  <dcterms:modified xsi:type="dcterms:W3CDTF">2014-06-25T13:32:00Z</dcterms:modified>
</cp:coreProperties>
</file>