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2F43" w14:textId="345658C5" w:rsidR="007743D1" w:rsidRPr="00914D8A" w:rsidRDefault="00ED1E28" w:rsidP="002412F3">
      <w:pPr>
        <w:spacing w:after="0" w:line="360" w:lineRule="auto"/>
        <w:jc w:val="center"/>
        <w:rPr>
          <w:rFonts w:ascii="Times New Roman" w:hAnsi="Times New Roman" w:cs="Times New Roman"/>
          <w:b/>
          <w:bCs/>
          <w:sz w:val="24"/>
          <w:szCs w:val="24"/>
        </w:rPr>
      </w:pPr>
      <w:r w:rsidRPr="00914D8A">
        <w:rPr>
          <w:rFonts w:ascii="Times New Roman" w:hAnsi="Times New Roman" w:cs="Times New Roman"/>
          <w:b/>
          <w:bCs/>
          <w:sz w:val="24"/>
          <w:szCs w:val="24"/>
        </w:rPr>
        <w:t>mgr Kamila Grzesiak</w:t>
      </w:r>
    </w:p>
    <w:p w14:paraId="048CF0E7" w14:textId="77777777" w:rsidR="002412F3" w:rsidRPr="00914D8A" w:rsidRDefault="002412F3" w:rsidP="002412F3">
      <w:pPr>
        <w:autoSpaceDE w:val="0"/>
        <w:autoSpaceDN w:val="0"/>
        <w:adjustRightInd w:val="0"/>
        <w:spacing w:after="0" w:line="360" w:lineRule="auto"/>
        <w:jc w:val="center"/>
        <w:rPr>
          <w:rFonts w:ascii="Times New Roman" w:hAnsi="Times New Roman" w:cs="Times New Roman"/>
          <w:b/>
          <w:bCs/>
          <w:sz w:val="24"/>
          <w:szCs w:val="24"/>
          <w:lang w:eastAsia="zh-TW"/>
        </w:rPr>
      </w:pPr>
    </w:p>
    <w:p w14:paraId="025FFF42" w14:textId="75882F56" w:rsidR="00ED1E28" w:rsidRPr="00914D8A" w:rsidRDefault="00ED1E28" w:rsidP="002412F3">
      <w:pPr>
        <w:autoSpaceDE w:val="0"/>
        <w:autoSpaceDN w:val="0"/>
        <w:adjustRightInd w:val="0"/>
        <w:spacing w:after="0" w:line="360" w:lineRule="auto"/>
        <w:jc w:val="center"/>
        <w:rPr>
          <w:rFonts w:ascii="Times New Roman" w:hAnsi="Times New Roman" w:cs="Times New Roman"/>
          <w:b/>
          <w:bCs/>
          <w:sz w:val="28"/>
          <w:szCs w:val="28"/>
          <w:lang w:eastAsia="zh-TW"/>
        </w:rPr>
      </w:pPr>
      <w:r w:rsidRPr="00914D8A">
        <w:rPr>
          <w:rFonts w:ascii="Times New Roman" w:hAnsi="Times New Roman" w:cs="Times New Roman"/>
          <w:b/>
          <w:bCs/>
          <w:sz w:val="28"/>
          <w:szCs w:val="28"/>
          <w:lang w:eastAsia="zh-TW"/>
        </w:rPr>
        <w:t>Niematerialne narzędzia motywowania</w:t>
      </w:r>
    </w:p>
    <w:p w14:paraId="33B169AC" w14:textId="37D0422C" w:rsidR="00ED1E28" w:rsidRPr="00914D8A" w:rsidRDefault="00ED1E28" w:rsidP="002412F3">
      <w:pPr>
        <w:spacing w:after="0" w:line="360" w:lineRule="auto"/>
        <w:jc w:val="center"/>
        <w:rPr>
          <w:rFonts w:ascii="Times New Roman" w:hAnsi="Times New Roman" w:cs="Times New Roman"/>
          <w:b/>
          <w:bCs/>
          <w:sz w:val="28"/>
          <w:szCs w:val="28"/>
          <w:lang w:eastAsia="zh-TW"/>
        </w:rPr>
      </w:pPr>
      <w:r w:rsidRPr="00914D8A">
        <w:rPr>
          <w:rFonts w:ascii="Times New Roman" w:hAnsi="Times New Roman" w:cs="Times New Roman"/>
          <w:b/>
          <w:bCs/>
          <w:sz w:val="28"/>
          <w:szCs w:val="28"/>
          <w:lang w:eastAsia="zh-TW"/>
        </w:rPr>
        <w:t>nisko wynagradzanych pracowników w Polsce</w:t>
      </w:r>
    </w:p>
    <w:p w14:paraId="332A7A58" w14:textId="77777777" w:rsidR="002412F3" w:rsidRPr="00914D8A" w:rsidRDefault="002412F3" w:rsidP="002412F3">
      <w:pPr>
        <w:spacing w:after="0" w:line="360" w:lineRule="auto"/>
        <w:jc w:val="center"/>
        <w:rPr>
          <w:rFonts w:ascii="Times New Roman" w:hAnsi="Times New Roman" w:cs="Times New Roman"/>
          <w:b/>
          <w:bCs/>
          <w:sz w:val="24"/>
          <w:szCs w:val="24"/>
        </w:rPr>
      </w:pPr>
    </w:p>
    <w:p w14:paraId="0969CD0A" w14:textId="48C15924" w:rsidR="00ED1E28" w:rsidRPr="00914D8A" w:rsidRDefault="00ED1E28" w:rsidP="002412F3">
      <w:pPr>
        <w:spacing w:after="0" w:line="360" w:lineRule="auto"/>
        <w:jc w:val="center"/>
        <w:rPr>
          <w:rFonts w:ascii="Times New Roman" w:hAnsi="Times New Roman" w:cs="Times New Roman"/>
          <w:sz w:val="24"/>
          <w:szCs w:val="24"/>
        </w:rPr>
      </w:pPr>
      <w:r w:rsidRPr="00914D8A">
        <w:rPr>
          <w:rFonts w:ascii="Times New Roman" w:hAnsi="Times New Roman" w:cs="Times New Roman"/>
          <w:sz w:val="24"/>
          <w:szCs w:val="24"/>
        </w:rPr>
        <w:t>Praca doktorska napisana w Kolegium Zarządzania i Finansów Szkoły Głównej Handlowej w Warszawie pod kierunkiem naukowym dr. hab. Piotra Wachowiaka, prof. SGH</w:t>
      </w:r>
      <w:r w:rsidR="00914D8A">
        <w:rPr>
          <w:rFonts w:ascii="Times New Roman" w:hAnsi="Times New Roman" w:cs="Times New Roman"/>
          <w:sz w:val="24"/>
          <w:szCs w:val="24"/>
        </w:rPr>
        <w:t>.</w:t>
      </w:r>
    </w:p>
    <w:p w14:paraId="3AEBBB3F" w14:textId="77777777" w:rsidR="00ED1E28" w:rsidRPr="00914D8A" w:rsidRDefault="00ED1E28" w:rsidP="002412F3">
      <w:pPr>
        <w:spacing w:after="0" w:line="360" w:lineRule="auto"/>
        <w:jc w:val="both"/>
        <w:rPr>
          <w:rFonts w:ascii="Times New Roman" w:hAnsi="Times New Roman" w:cs="Times New Roman"/>
          <w:sz w:val="24"/>
          <w:szCs w:val="24"/>
        </w:rPr>
      </w:pPr>
    </w:p>
    <w:p w14:paraId="30B763AD" w14:textId="007B25B9" w:rsidR="00ED1E28" w:rsidRPr="00914D8A" w:rsidRDefault="00ED1E28" w:rsidP="002412F3">
      <w:pPr>
        <w:spacing w:after="0" w:line="360" w:lineRule="auto"/>
        <w:jc w:val="center"/>
        <w:rPr>
          <w:rFonts w:ascii="Times New Roman" w:hAnsi="Times New Roman" w:cs="Times New Roman"/>
          <w:b/>
          <w:bCs/>
          <w:sz w:val="28"/>
          <w:szCs w:val="28"/>
        </w:rPr>
      </w:pPr>
      <w:r w:rsidRPr="00914D8A">
        <w:rPr>
          <w:rFonts w:ascii="Times New Roman" w:hAnsi="Times New Roman" w:cs="Times New Roman"/>
          <w:b/>
          <w:bCs/>
          <w:sz w:val="28"/>
          <w:szCs w:val="28"/>
        </w:rPr>
        <w:t>Streszczenie</w:t>
      </w:r>
    </w:p>
    <w:p w14:paraId="5E9F6EAA" w14:textId="77777777" w:rsidR="002412F3" w:rsidRPr="00914D8A" w:rsidRDefault="002412F3" w:rsidP="002412F3">
      <w:pPr>
        <w:spacing w:after="0" w:line="360" w:lineRule="auto"/>
        <w:jc w:val="both"/>
        <w:rPr>
          <w:rFonts w:ascii="Times New Roman" w:hAnsi="Times New Roman" w:cs="Times New Roman"/>
          <w:sz w:val="24"/>
          <w:szCs w:val="24"/>
        </w:rPr>
      </w:pPr>
    </w:p>
    <w:p w14:paraId="3763F3BB" w14:textId="27FE1D02" w:rsidR="002412F3" w:rsidRPr="00914D8A" w:rsidRDefault="002412F3" w:rsidP="002412F3">
      <w:pPr>
        <w:spacing w:after="0" w:line="360" w:lineRule="auto"/>
        <w:ind w:firstLine="709"/>
        <w:jc w:val="both"/>
        <w:rPr>
          <w:rFonts w:ascii="Times New Roman" w:hAnsi="Times New Roman" w:cs="Times New Roman"/>
          <w:sz w:val="24"/>
          <w:szCs w:val="24"/>
        </w:rPr>
      </w:pPr>
      <w:r w:rsidRPr="00914D8A">
        <w:rPr>
          <w:rFonts w:ascii="Times New Roman" w:hAnsi="Times New Roman" w:cs="Times New Roman"/>
          <w:sz w:val="24"/>
          <w:szCs w:val="24"/>
        </w:rPr>
        <w:t>Motywowanie pracowników jest jednym z najczęściej studiowanych i</w:t>
      </w:r>
      <w:r w:rsidR="00A43589" w:rsidRPr="00914D8A">
        <w:rPr>
          <w:rFonts w:ascii="Times New Roman" w:hAnsi="Times New Roman" w:cs="Times New Roman"/>
          <w:sz w:val="24"/>
          <w:szCs w:val="24"/>
        </w:rPr>
        <w:t xml:space="preserve"> </w:t>
      </w:r>
      <w:r w:rsidRPr="00914D8A">
        <w:rPr>
          <w:rFonts w:ascii="Times New Roman" w:hAnsi="Times New Roman" w:cs="Times New Roman"/>
          <w:sz w:val="24"/>
          <w:szCs w:val="24"/>
        </w:rPr>
        <w:t xml:space="preserve">opisywanych tematów w zarządzaniu. </w:t>
      </w:r>
      <w:r w:rsidR="00914D8A">
        <w:rPr>
          <w:rFonts w:ascii="Times New Roman" w:hAnsi="Times New Roman" w:cs="Times New Roman"/>
          <w:sz w:val="24"/>
          <w:szCs w:val="24"/>
        </w:rPr>
        <w:t>Należy jednak stwierdzić</w:t>
      </w:r>
      <w:r w:rsidRPr="00914D8A">
        <w:rPr>
          <w:rFonts w:ascii="Times New Roman" w:hAnsi="Times New Roman" w:cs="Times New Roman"/>
          <w:sz w:val="24"/>
          <w:szCs w:val="24"/>
        </w:rPr>
        <w:t xml:space="preserve">, </w:t>
      </w:r>
      <w:r w:rsidR="00914D8A">
        <w:rPr>
          <w:rFonts w:ascii="Times New Roman" w:hAnsi="Times New Roman" w:cs="Times New Roman"/>
          <w:sz w:val="24"/>
          <w:szCs w:val="24"/>
        </w:rPr>
        <w:t xml:space="preserve">że </w:t>
      </w:r>
      <w:r w:rsidRPr="00914D8A">
        <w:rPr>
          <w:rFonts w:ascii="Times New Roman" w:hAnsi="Times New Roman" w:cs="Times New Roman"/>
          <w:sz w:val="24"/>
          <w:szCs w:val="24"/>
        </w:rPr>
        <w:t>nie ma jednego sposobu motywowania, który byłby najbardziej skuteczny</w:t>
      </w:r>
      <w:r w:rsidR="00D81DB7">
        <w:rPr>
          <w:rFonts w:ascii="Times New Roman" w:hAnsi="Times New Roman" w:cs="Times New Roman"/>
          <w:sz w:val="24"/>
          <w:szCs w:val="24"/>
        </w:rPr>
        <w:t>, co</w:t>
      </w:r>
      <w:r w:rsidRPr="00914D8A">
        <w:rPr>
          <w:rFonts w:ascii="Times New Roman" w:hAnsi="Times New Roman" w:cs="Times New Roman"/>
          <w:sz w:val="24"/>
          <w:szCs w:val="24"/>
        </w:rPr>
        <w:t xml:space="preserve"> odzwierciedla złożoność procesów tego zjawiska. </w:t>
      </w:r>
      <w:r w:rsidR="00D81DB7">
        <w:rPr>
          <w:rFonts w:ascii="Times New Roman" w:hAnsi="Times New Roman" w:cs="Times New Roman"/>
          <w:sz w:val="24"/>
          <w:szCs w:val="24"/>
        </w:rPr>
        <w:t>Zatem można</w:t>
      </w:r>
      <w:r w:rsidRPr="00914D8A">
        <w:rPr>
          <w:rFonts w:ascii="Times New Roman" w:hAnsi="Times New Roman" w:cs="Times New Roman"/>
          <w:sz w:val="24"/>
          <w:szCs w:val="24"/>
        </w:rPr>
        <w:t xml:space="preserve"> uznać, że rozwój motywowania powinien nieustannie być przedmiotem analizy naukowej. </w:t>
      </w:r>
    </w:p>
    <w:p w14:paraId="108A0F66" w14:textId="7209843B" w:rsidR="002412F3" w:rsidRPr="00914D8A" w:rsidRDefault="00D81DB7" w:rsidP="002412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2412F3" w:rsidRPr="00914D8A">
        <w:rPr>
          <w:rFonts w:ascii="Times New Roman" w:hAnsi="Times New Roman" w:cs="Times New Roman"/>
          <w:sz w:val="24"/>
          <w:szCs w:val="24"/>
        </w:rPr>
        <w:t xml:space="preserve">arzędzia motywowania powinny uwzględniać </w:t>
      </w:r>
      <w:r w:rsidR="00AA6ED8" w:rsidRPr="00914D8A">
        <w:rPr>
          <w:rFonts w:ascii="Times New Roman" w:hAnsi="Times New Roman" w:cs="Times New Roman"/>
          <w:sz w:val="24"/>
          <w:szCs w:val="24"/>
        </w:rPr>
        <w:t xml:space="preserve">zarówno </w:t>
      </w:r>
      <w:r w:rsidR="002412F3" w:rsidRPr="00914D8A">
        <w:rPr>
          <w:rFonts w:ascii="Times New Roman" w:hAnsi="Times New Roman" w:cs="Times New Roman"/>
          <w:sz w:val="24"/>
          <w:szCs w:val="24"/>
        </w:rPr>
        <w:t xml:space="preserve">uwarunkowania organizacji, jak i potrzeby </w:t>
      </w:r>
      <w:r w:rsidR="00AA6ED8">
        <w:rPr>
          <w:rFonts w:ascii="Times New Roman" w:hAnsi="Times New Roman" w:cs="Times New Roman"/>
          <w:sz w:val="24"/>
          <w:szCs w:val="24"/>
        </w:rPr>
        <w:t>oraz</w:t>
      </w:r>
      <w:r w:rsidR="002412F3" w:rsidRPr="00914D8A">
        <w:rPr>
          <w:rFonts w:ascii="Times New Roman" w:hAnsi="Times New Roman" w:cs="Times New Roman"/>
          <w:sz w:val="24"/>
          <w:szCs w:val="24"/>
        </w:rPr>
        <w:t xml:space="preserve"> oczekiwania pracowników. Pracowni</w:t>
      </w:r>
      <w:r>
        <w:rPr>
          <w:rFonts w:ascii="Times New Roman" w:hAnsi="Times New Roman" w:cs="Times New Roman"/>
          <w:sz w:val="24"/>
          <w:szCs w:val="24"/>
        </w:rPr>
        <w:t>cy</w:t>
      </w:r>
      <w:r w:rsidR="002412F3" w:rsidRPr="00914D8A">
        <w:rPr>
          <w:rFonts w:ascii="Times New Roman" w:hAnsi="Times New Roman" w:cs="Times New Roman"/>
          <w:sz w:val="24"/>
          <w:szCs w:val="24"/>
        </w:rPr>
        <w:t xml:space="preserve"> motyw</w:t>
      </w:r>
      <w:r>
        <w:rPr>
          <w:rFonts w:ascii="Times New Roman" w:hAnsi="Times New Roman" w:cs="Times New Roman"/>
          <w:sz w:val="24"/>
          <w:szCs w:val="24"/>
        </w:rPr>
        <w:t>owani</w:t>
      </w:r>
      <w:r w:rsidR="002412F3" w:rsidRPr="00914D8A">
        <w:rPr>
          <w:rFonts w:ascii="Times New Roman" w:hAnsi="Times New Roman" w:cs="Times New Roman"/>
          <w:sz w:val="24"/>
          <w:szCs w:val="24"/>
        </w:rPr>
        <w:t xml:space="preserve"> s</w:t>
      </w:r>
      <w:r>
        <w:rPr>
          <w:rFonts w:ascii="Times New Roman" w:hAnsi="Times New Roman" w:cs="Times New Roman"/>
          <w:sz w:val="24"/>
          <w:szCs w:val="24"/>
        </w:rPr>
        <w:t>ą</w:t>
      </w:r>
      <w:r w:rsidR="002412F3" w:rsidRPr="00914D8A">
        <w:rPr>
          <w:rFonts w:ascii="Times New Roman" w:hAnsi="Times New Roman" w:cs="Times New Roman"/>
          <w:sz w:val="24"/>
          <w:szCs w:val="24"/>
        </w:rPr>
        <w:t xml:space="preserve"> przy użyciu narzędzi materialnych pieniężnych, narzędzi materialnych niepieniężnych i narzędzi niematerialnych. </w:t>
      </w:r>
    </w:p>
    <w:p w14:paraId="36D61E73" w14:textId="5608AD69" w:rsidR="002412F3" w:rsidRPr="00914D8A" w:rsidRDefault="002412F3" w:rsidP="002412F3">
      <w:pPr>
        <w:spacing w:after="0" w:line="360" w:lineRule="auto"/>
        <w:ind w:firstLine="709"/>
        <w:jc w:val="both"/>
        <w:rPr>
          <w:rFonts w:ascii="Times New Roman" w:hAnsi="Times New Roman" w:cs="Times New Roman"/>
          <w:sz w:val="24"/>
          <w:szCs w:val="24"/>
        </w:rPr>
      </w:pPr>
      <w:r w:rsidRPr="00914D8A">
        <w:rPr>
          <w:rFonts w:ascii="Times New Roman" w:hAnsi="Times New Roman" w:cs="Times New Roman"/>
          <w:iCs/>
          <w:sz w:val="24"/>
          <w:szCs w:val="24"/>
        </w:rPr>
        <w:t xml:space="preserve">Temat pracy został podjęty ze względu </w:t>
      </w:r>
      <w:r w:rsidRPr="00914D8A">
        <w:rPr>
          <w:rFonts w:ascii="Times New Roman" w:hAnsi="Times New Roman" w:cs="Times New Roman"/>
          <w:sz w:val="24"/>
          <w:szCs w:val="24"/>
        </w:rPr>
        <w:t>na rosnące zainteresowanie motywowaniem pracowników nisko wynagradzanych przy użyciu narzędzi niematerialnych</w:t>
      </w:r>
      <w:r w:rsidRPr="00914D8A">
        <w:rPr>
          <w:rFonts w:ascii="Times New Roman" w:hAnsi="Times New Roman" w:cs="Times New Roman"/>
          <w:iCs/>
          <w:sz w:val="24"/>
          <w:szCs w:val="24"/>
        </w:rPr>
        <w:t>. Kolejnym powodem wyboru tego tematu jest niewielka liczba badań ukierunkowan</w:t>
      </w:r>
      <w:r w:rsidR="00704253">
        <w:rPr>
          <w:rFonts w:ascii="Times New Roman" w:hAnsi="Times New Roman" w:cs="Times New Roman"/>
          <w:iCs/>
          <w:sz w:val="24"/>
          <w:szCs w:val="24"/>
        </w:rPr>
        <w:t>ych</w:t>
      </w:r>
      <w:r w:rsidRPr="00914D8A">
        <w:rPr>
          <w:rFonts w:ascii="Times New Roman" w:hAnsi="Times New Roman" w:cs="Times New Roman"/>
          <w:iCs/>
          <w:sz w:val="24"/>
          <w:szCs w:val="24"/>
        </w:rPr>
        <w:t xml:space="preserve"> na pracowników nisko wynagradzanych. Wydaje się zatem konieczne, aby obecny stan wiedzy na temat motywowania pracowników nisko wynagradzanych uzupełnić o narzędzia niematerialne tak niezbędne w polskich realiach i nie tylko, gdyż mogą one być wykorzystane wszędzie tam, gdzie </w:t>
      </w:r>
      <w:r w:rsidR="00AA6ED8">
        <w:rPr>
          <w:rFonts w:ascii="Times New Roman" w:hAnsi="Times New Roman" w:cs="Times New Roman"/>
          <w:iCs/>
          <w:sz w:val="24"/>
          <w:szCs w:val="24"/>
        </w:rPr>
        <w:t>konieczne jest</w:t>
      </w:r>
      <w:r w:rsidRPr="00914D8A">
        <w:rPr>
          <w:rFonts w:ascii="Times New Roman" w:hAnsi="Times New Roman" w:cs="Times New Roman"/>
          <w:iCs/>
          <w:sz w:val="24"/>
          <w:szCs w:val="24"/>
        </w:rPr>
        <w:t xml:space="preserve"> ogranicz</w:t>
      </w:r>
      <w:r w:rsidR="00AA6ED8">
        <w:rPr>
          <w:rFonts w:ascii="Times New Roman" w:hAnsi="Times New Roman" w:cs="Times New Roman"/>
          <w:iCs/>
          <w:sz w:val="24"/>
          <w:szCs w:val="24"/>
        </w:rPr>
        <w:t>a</w:t>
      </w:r>
      <w:r w:rsidRPr="00914D8A">
        <w:rPr>
          <w:rFonts w:ascii="Times New Roman" w:hAnsi="Times New Roman" w:cs="Times New Roman"/>
          <w:iCs/>
          <w:sz w:val="24"/>
          <w:szCs w:val="24"/>
        </w:rPr>
        <w:t xml:space="preserve">nie kosztów pracy. </w:t>
      </w:r>
      <w:r w:rsidRPr="00914D8A">
        <w:rPr>
          <w:rFonts w:ascii="Times New Roman" w:hAnsi="Times New Roman" w:cs="Times New Roman"/>
          <w:sz w:val="24"/>
          <w:szCs w:val="24"/>
        </w:rPr>
        <w:t>Inspiracją wyboru tematu pracy byli pracownicy nisko wynagradzani z</w:t>
      </w:r>
      <w:r w:rsidR="00A43589" w:rsidRPr="00914D8A">
        <w:rPr>
          <w:rFonts w:ascii="Times New Roman" w:hAnsi="Times New Roman" w:cs="Times New Roman"/>
          <w:sz w:val="24"/>
          <w:szCs w:val="24"/>
        </w:rPr>
        <w:t xml:space="preserve"> </w:t>
      </w:r>
      <w:r w:rsidRPr="00914D8A">
        <w:rPr>
          <w:rFonts w:ascii="Times New Roman" w:hAnsi="Times New Roman" w:cs="Times New Roman"/>
          <w:sz w:val="24"/>
          <w:szCs w:val="24"/>
        </w:rPr>
        <w:t>sektora usług opiekuńczych, którzy są bardzo ważni dla zdrowia podopiecznego, a zawód ten będzie miał coraz większe znaczenie z uwagi na starzejące się społeczeństwo.</w:t>
      </w:r>
    </w:p>
    <w:p w14:paraId="16C75778" w14:textId="2395BACA" w:rsidR="0033345D" w:rsidRPr="00914D8A" w:rsidRDefault="0033345D" w:rsidP="002412F3">
      <w:pPr>
        <w:spacing w:after="0" w:line="360" w:lineRule="auto"/>
        <w:ind w:firstLine="709"/>
        <w:jc w:val="both"/>
        <w:rPr>
          <w:rFonts w:ascii="Times New Roman" w:hAnsi="Times New Roman" w:cs="Times New Roman"/>
          <w:sz w:val="24"/>
          <w:szCs w:val="24"/>
        </w:rPr>
      </w:pPr>
      <w:r w:rsidRPr="0033345D">
        <w:rPr>
          <w:rFonts w:ascii="Times New Roman" w:hAnsi="Times New Roman" w:cs="Times New Roman"/>
          <w:sz w:val="24"/>
          <w:szCs w:val="24"/>
        </w:rPr>
        <w:t>W opinii autorki pracy pracownik</w:t>
      </w:r>
      <w:r>
        <w:rPr>
          <w:rFonts w:ascii="Times New Roman" w:hAnsi="Times New Roman" w:cs="Times New Roman"/>
          <w:sz w:val="24"/>
          <w:szCs w:val="24"/>
        </w:rPr>
        <w:t>iem</w:t>
      </w:r>
      <w:r w:rsidRPr="0033345D">
        <w:rPr>
          <w:rFonts w:ascii="Times New Roman" w:hAnsi="Times New Roman" w:cs="Times New Roman"/>
          <w:sz w:val="24"/>
          <w:szCs w:val="24"/>
        </w:rPr>
        <w:t xml:space="preserve"> nisko wynagradzany</w:t>
      </w:r>
      <w:r>
        <w:rPr>
          <w:rFonts w:ascii="Times New Roman" w:hAnsi="Times New Roman" w:cs="Times New Roman"/>
          <w:sz w:val="24"/>
          <w:szCs w:val="24"/>
        </w:rPr>
        <w:t>m jest</w:t>
      </w:r>
      <w:r w:rsidRPr="0033345D">
        <w:rPr>
          <w:rFonts w:ascii="Times New Roman" w:hAnsi="Times New Roman" w:cs="Times New Roman"/>
          <w:sz w:val="24"/>
          <w:szCs w:val="24"/>
        </w:rPr>
        <w:t xml:space="preserve"> pracownik, który </w:t>
      </w:r>
      <w:r>
        <w:rPr>
          <w:rFonts w:ascii="Times New Roman" w:hAnsi="Times New Roman" w:cs="Times New Roman"/>
          <w:sz w:val="24"/>
          <w:szCs w:val="24"/>
        </w:rPr>
        <w:t>za wykonaną</w:t>
      </w:r>
      <w:r w:rsidRPr="0033345D">
        <w:rPr>
          <w:rFonts w:ascii="Times New Roman" w:hAnsi="Times New Roman" w:cs="Times New Roman"/>
          <w:sz w:val="24"/>
          <w:szCs w:val="24"/>
        </w:rPr>
        <w:t xml:space="preserve"> pracę </w:t>
      </w:r>
      <w:r>
        <w:rPr>
          <w:rFonts w:ascii="Times New Roman" w:hAnsi="Times New Roman" w:cs="Times New Roman"/>
          <w:sz w:val="24"/>
          <w:szCs w:val="24"/>
        </w:rPr>
        <w:t>otrzymuje</w:t>
      </w:r>
      <w:r w:rsidRPr="0033345D">
        <w:rPr>
          <w:rFonts w:ascii="Times New Roman" w:hAnsi="Times New Roman" w:cs="Times New Roman"/>
          <w:sz w:val="24"/>
          <w:szCs w:val="24"/>
        </w:rPr>
        <w:t xml:space="preserve"> minimalne wynagrodzenie.</w:t>
      </w:r>
    </w:p>
    <w:p w14:paraId="05ADB781" w14:textId="1D616AE3" w:rsidR="002412F3" w:rsidRDefault="002412F3" w:rsidP="002412F3">
      <w:pPr>
        <w:spacing w:after="0" w:line="360" w:lineRule="auto"/>
        <w:ind w:firstLine="709"/>
        <w:jc w:val="both"/>
        <w:rPr>
          <w:rFonts w:ascii="Times New Roman" w:hAnsi="Times New Roman" w:cs="Times New Roman"/>
          <w:sz w:val="24"/>
          <w:szCs w:val="24"/>
        </w:rPr>
      </w:pPr>
      <w:bookmarkStart w:id="0" w:name="_Hlk78959964"/>
      <w:bookmarkStart w:id="1" w:name="_Hlk78959997"/>
      <w:r w:rsidRPr="00914D8A">
        <w:rPr>
          <w:rFonts w:ascii="Times New Roman" w:hAnsi="Times New Roman" w:cs="Times New Roman"/>
          <w:sz w:val="24"/>
          <w:szCs w:val="24"/>
        </w:rPr>
        <w:lastRenderedPageBreak/>
        <w:t xml:space="preserve">Głównym celem rozprawy doktorskiej </w:t>
      </w:r>
      <w:bookmarkEnd w:id="0"/>
      <w:r w:rsidRPr="00914D8A">
        <w:rPr>
          <w:rFonts w:ascii="Times New Roman" w:hAnsi="Times New Roman" w:cs="Times New Roman"/>
          <w:sz w:val="24"/>
          <w:szCs w:val="24"/>
        </w:rPr>
        <w:t>jest zbadanie skuteczności poszczególnych narzędzi niematerialnych w motywowaniu pracowników nisko wynagradzanych w</w:t>
      </w:r>
      <w:r w:rsidR="00A43589" w:rsidRPr="00914D8A">
        <w:rPr>
          <w:rFonts w:ascii="Times New Roman" w:hAnsi="Times New Roman" w:cs="Times New Roman"/>
          <w:sz w:val="24"/>
          <w:szCs w:val="24"/>
        </w:rPr>
        <w:t xml:space="preserve"> </w:t>
      </w:r>
      <w:r w:rsidRPr="00914D8A">
        <w:rPr>
          <w:rFonts w:ascii="Times New Roman" w:hAnsi="Times New Roman" w:cs="Times New Roman"/>
          <w:sz w:val="24"/>
          <w:szCs w:val="24"/>
        </w:rPr>
        <w:t>badanych oddziałach przedsiębiorstwa z sektora usług opiekuńczych w Polsce.</w:t>
      </w:r>
      <w:bookmarkEnd w:id="1"/>
      <w:r w:rsidRPr="00914D8A">
        <w:rPr>
          <w:rFonts w:ascii="Times New Roman" w:hAnsi="Times New Roman" w:cs="Times New Roman"/>
          <w:sz w:val="24"/>
          <w:szCs w:val="24"/>
        </w:rPr>
        <w:t xml:space="preserve"> </w:t>
      </w:r>
      <w:bookmarkStart w:id="2" w:name="_Hlk78960024"/>
    </w:p>
    <w:p w14:paraId="5460FBD8" w14:textId="77777777" w:rsidR="00BA3625" w:rsidRPr="00BA3625" w:rsidRDefault="00BA3625" w:rsidP="00BA3625">
      <w:pPr>
        <w:spacing w:line="360" w:lineRule="auto"/>
        <w:ind w:firstLine="709"/>
        <w:jc w:val="both"/>
        <w:rPr>
          <w:rFonts w:asciiTheme="majorBidi" w:eastAsiaTheme="minorEastAsia" w:hAnsiTheme="majorBidi" w:cstheme="majorBidi"/>
          <w:sz w:val="24"/>
          <w:szCs w:val="24"/>
        </w:rPr>
      </w:pPr>
      <w:r w:rsidRPr="00BA3625">
        <w:rPr>
          <w:rFonts w:asciiTheme="majorBidi" w:hAnsiTheme="majorBidi" w:cstheme="majorBidi"/>
          <w:sz w:val="24"/>
          <w:szCs w:val="24"/>
        </w:rPr>
        <w:t>Aby zrealizować główny cel rozprawy sformułowano siedem</w:t>
      </w:r>
      <w:r w:rsidRPr="00BA3625">
        <w:rPr>
          <w:rFonts w:asciiTheme="majorBidi" w:hAnsiTheme="majorBidi" w:cstheme="majorBidi"/>
          <w:b/>
          <w:bCs/>
          <w:sz w:val="24"/>
          <w:szCs w:val="24"/>
        </w:rPr>
        <w:t xml:space="preserve"> </w:t>
      </w:r>
      <w:r w:rsidRPr="00BA3625">
        <w:rPr>
          <w:rFonts w:asciiTheme="majorBidi" w:hAnsiTheme="majorBidi" w:cstheme="majorBidi"/>
          <w:sz w:val="24"/>
          <w:szCs w:val="24"/>
        </w:rPr>
        <w:t>celów poznawczych, trzy cele metodyczne i jeden cel aplikacyjny.</w:t>
      </w:r>
      <w:r w:rsidRPr="00BA3625">
        <w:rPr>
          <w:rFonts w:asciiTheme="majorBidi" w:eastAsiaTheme="minorEastAsia" w:hAnsiTheme="majorBidi" w:cstheme="majorBidi"/>
          <w:sz w:val="24"/>
          <w:szCs w:val="24"/>
        </w:rPr>
        <w:t xml:space="preserve"> </w:t>
      </w:r>
    </w:p>
    <w:p w14:paraId="27AA6450" w14:textId="77777777" w:rsidR="00BA3625" w:rsidRPr="00BA3625" w:rsidRDefault="00BA3625" w:rsidP="00BA3625">
      <w:pPr>
        <w:spacing w:line="360" w:lineRule="auto"/>
        <w:ind w:firstLine="709"/>
        <w:jc w:val="both"/>
        <w:rPr>
          <w:rFonts w:asciiTheme="majorBidi" w:eastAsia="Calibri" w:hAnsiTheme="majorBidi" w:cstheme="majorBidi"/>
          <w:sz w:val="24"/>
          <w:szCs w:val="24"/>
        </w:rPr>
      </w:pPr>
      <w:bookmarkStart w:id="3" w:name="_Hlk137201054"/>
      <w:r w:rsidRPr="00BA3625">
        <w:rPr>
          <w:rFonts w:asciiTheme="majorBidi" w:eastAsia="Calibri" w:hAnsiTheme="majorBidi" w:cstheme="majorBidi"/>
          <w:sz w:val="24"/>
          <w:szCs w:val="24"/>
        </w:rPr>
        <w:t>Pierwszym celem poznawczym jest analiza istoty motywacji. Drugim celem poznawczym jest wskazanie istoty motywowania pracowników. Trzecim celem poznawczym jest ocena narzędzi motywowania pracowników. Czwartym celem poznawczym jest zbadanie, które niematerialne narzędzia są stosowane w motywowaniu pracowników nisko wynagradzanych. Piątym celem poznawczym jest wskazanie, które niematerialne narzędzia są najbardziej skuteczne w motywowaniu pracowników nisko wynagradzanych, a szóstym celem poznawczym jest zbadanie, które niematerialne narzędzia są najmniej skuteczne w motywowaniu pracowników nisko wynagradzanych. Natomiast siódmym celem poznawczym jest ocena pracy pracowników nisko wynagradzanych.</w:t>
      </w:r>
    </w:p>
    <w:p w14:paraId="4ED7188B" w14:textId="77777777" w:rsidR="00BA3625" w:rsidRPr="00BA3625" w:rsidRDefault="00BA3625" w:rsidP="00BA3625">
      <w:pPr>
        <w:spacing w:line="360" w:lineRule="auto"/>
        <w:ind w:firstLine="709"/>
        <w:jc w:val="both"/>
        <w:rPr>
          <w:rFonts w:asciiTheme="majorBidi" w:eastAsia="Calibri" w:hAnsiTheme="majorBidi" w:cstheme="majorBidi"/>
          <w:sz w:val="24"/>
          <w:szCs w:val="24"/>
        </w:rPr>
      </w:pPr>
      <w:bookmarkStart w:id="4" w:name="_Hlk78960161"/>
      <w:bookmarkEnd w:id="3"/>
      <w:r w:rsidRPr="00BA3625">
        <w:rPr>
          <w:rFonts w:asciiTheme="majorBidi" w:hAnsiTheme="majorBidi" w:cstheme="majorBidi"/>
          <w:sz w:val="24"/>
          <w:szCs w:val="24"/>
        </w:rPr>
        <w:t xml:space="preserve">Cele metodyczne związane są ze określeniem sposobu motywowania pracowników nisko wynagradzanych. </w:t>
      </w:r>
      <w:r w:rsidRPr="00BA3625">
        <w:rPr>
          <w:rFonts w:asciiTheme="majorBidi" w:eastAsia="Calibri" w:hAnsiTheme="majorBidi" w:cstheme="majorBidi"/>
          <w:sz w:val="24"/>
          <w:szCs w:val="24"/>
        </w:rPr>
        <w:t xml:space="preserve">Pierwszy cel metodyczny dotyczy skonstruowania modelu badawczego obrazującego </w:t>
      </w:r>
      <w:r w:rsidRPr="00BA3625">
        <w:rPr>
          <w:rFonts w:asciiTheme="majorBidi" w:hAnsiTheme="majorBidi" w:cstheme="majorBidi"/>
          <w:sz w:val="24"/>
          <w:szCs w:val="24"/>
        </w:rPr>
        <w:t xml:space="preserve">zależności badanych zjawisk, czyli wpływu poszczególnych niematerialnych narzędzi na motywowanie pracowników nisko wynagradzanych w sektorze usług opiekuńczych. Drugim celem metodycznym jest opracowanie narzędzi badawczych motywowania pracowników związanych z realizacją zadań, ze środowiskiem pracy i możliwością rozwoju. </w:t>
      </w:r>
      <w:r w:rsidRPr="00BA3625">
        <w:rPr>
          <w:rFonts w:asciiTheme="majorBidi" w:eastAsia="Calibri" w:hAnsiTheme="majorBidi" w:cstheme="majorBidi"/>
          <w:sz w:val="24"/>
          <w:szCs w:val="24"/>
        </w:rPr>
        <w:t>Trzecim celem metodycznym jest opracowanie procedury badawczej.</w:t>
      </w:r>
    </w:p>
    <w:p w14:paraId="0089E0E0" w14:textId="7690EFAB" w:rsidR="00BA3625" w:rsidRPr="00BA3625" w:rsidRDefault="00BA3625" w:rsidP="00BA3625">
      <w:pPr>
        <w:spacing w:line="360" w:lineRule="auto"/>
        <w:ind w:firstLine="709"/>
        <w:jc w:val="both"/>
        <w:rPr>
          <w:rFonts w:asciiTheme="majorBidi" w:hAnsiTheme="majorBidi" w:cstheme="majorBidi"/>
          <w:bCs/>
          <w:sz w:val="24"/>
          <w:szCs w:val="24"/>
        </w:rPr>
      </w:pPr>
      <w:bookmarkStart w:id="5" w:name="_Hlk78960210"/>
      <w:bookmarkEnd w:id="4"/>
      <w:r w:rsidRPr="00BA3625">
        <w:rPr>
          <w:rFonts w:asciiTheme="majorBidi" w:hAnsiTheme="majorBidi" w:cstheme="majorBidi"/>
          <w:sz w:val="24"/>
          <w:szCs w:val="24"/>
        </w:rPr>
        <w:t xml:space="preserve">Celem aplikacyjnym, który odnosi się do praktycznego zastosowania wyników badań, jest potrzeba przygotowania dla menedżerów w tej branży rekomendacji, </w:t>
      </w:r>
      <w:r w:rsidRPr="00BA3625">
        <w:rPr>
          <w:rFonts w:asciiTheme="majorBidi" w:hAnsiTheme="majorBidi" w:cstheme="majorBidi"/>
          <w:bCs/>
          <w:sz w:val="24"/>
          <w:szCs w:val="24"/>
        </w:rPr>
        <w:t>dotyczących skutecznych sposobów motywowania pracowników nisko wynagradzanych za pomocą niematerialnych narzędzi.</w:t>
      </w:r>
      <w:bookmarkEnd w:id="5"/>
    </w:p>
    <w:bookmarkEnd w:id="2"/>
    <w:p w14:paraId="1B4846CB" w14:textId="23052037" w:rsidR="002412F3" w:rsidRPr="00914D8A" w:rsidRDefault="002412F3" w:rsidP="002412F3">
      <w:pPr>
        <w:spacing w:after="0" w:line="360" w:lineRule="auto"/>
        <w:ind w:firstLine="709"/>
        <w:jc w:val="both"/>
        <w:rPr>
          <w:rFonts w:ascii="Times New Roman" w:hAnsi="Times New Roman" w:cs="Times New Roman"/>
          <w:sz w:val="24"/>
          <w:szCs w:val="24"/>
        </w:rPr>
      </w:pPr>
      <w:r w:rsidRPr="00914D8A">
        <w:rPr>
          <w:rFonts w:ascii="Times New Roman" w:hAnsi="Times New Roman" w:cs="Times New Roman"/>
          <w:sz w:val="24"/>
          <w:szCs w:val="24"/>
        </w:rPr>
        <w:t xml:space="preserve">Cel główny, jak i cele poznawcze zostały osiągnięte poprzez analizę dorobku literaturowego oraz zastosowanie triangulacji metod badawczych. Sformułowano </w:t>
      </w:r>
      <w:bookmarkStart w:id="6" w:name="_Hlk104483692"/>
      <w:r w:rsidRPr="00914D8A">
        <w:rPr>
          <w:rFonts w:ascii="Times New Roman" w:hAnsi="Times New Roman" w:cs="Times New Roman"/>
          <w:sz w:val="24"/>
          <w:szCs w:val="24"/>
        </w:rPr>
        <w:t>hipotezę główną (H</w:t>
      </w:r>
      <w:r w:rsidR="00D91F39">
        <w:rPr>
          <w:rFonts w:ascii="Times New Roman" w:hAnsi="Times New Roman" w:cs="Times New Roman"/>
          <w:sz w:val="24"/>
          <w:szCs w:val="24"/>
          <w:vertAlign w:val="subscript"/>
        </w:rPr>
        <w:t>GŁ</w:t>
      </w:r>
      <w:r w:rsidRPr="00914D8A">
        <w:rPr>
          <w:rFonts w:ascii="Times New Roman" w:hAnsi="Times New Roman" w:cs="Times New Roman"/>
          <w:sz w:val="24"/>
          <w:szCs w:val="24"/>
        </w:rPr>
        <w:t>) o treści:</w:t>
      </w:r>
      <w:r w:rsidR="00F4104C">
        <w:rPr>
          <w:rFonts w:ascii="Times New Roman" w:hAnsi="Times New Roman" w:cs="Times New Roman"/>
          <w:sz w:val="24"/>
          <w:szCs w:val="24"/>
        </w:rPr>
        <w:t xml:space="preserve"> </w:t>
      </w:r>
      <w:r w:rsidRPr="00914D8A">
        <w:rPr>
          <w:rFonts w:ascii="Times New Roman" w:hAnsi="Times New Roman" w:cs="Times New Roman"/>
          <w:i/>
          <w:iCs/>
          <w:sz w:val="24"/>
          <w:szCs w:val="24"/>
        </w:rPr>
        <w:t>Niematerialne narzędzia motywowania pracowników mają niską skuteczność w</w:t>
      </w:r>
      <w:r w:rsidR="00A43589" w:rsidRPr="00914D8A">
        <w:rPr>
          <w:rFonts w:ascii="Times New Roman" w:hAnsi="Times New Roman" w:cs="Times New Roman"/>
          <w:i/>
          <w:iCs/>
          <w:sz w:val="24"/>
          <w:szCs w:val="24"/>
        </w:rPr>
        <w:t xml:space="preserve"> </w:t>
      </w:r>
      <w:r w:rsidRPr="00914D8A">
        <w:rPr>
          <w:rFonts w:ascii="Times New Roman" w:hAnsi="Times New Roman" w:cs="Times New Roman"/>
          <w:i/>
          <w:iCs/>
          <w:sz w:val="24"/>
          <w:szCs w:val="24"/>
        </w:rPr>
        <w:t>motywowaniu pracowników nisko wynagradzanych</w:t>
      </w:r>
      <w:r w:rsidRPr="00914D8A">
        <w:rPr>
          <w:rFonts w:ascii="Times New Roman" w:hAnsi="Times New Roman" w:cs="Times New Roman"/>
          <w:sz w:val="24"/>
          <w:szCs w:val="24"/>
        </w:rPr>
        <w:t>.</w:t>
      </w:r>
    </w:p>
    <w:p w14:paraId="3ED0A739" w14:textId="34EEC552" w:rsidR="002412F3" w:rsidRPr="00914D8A" w:rsidRDefault="002412F3" w:rsidP="002412F3">
      <w:pPr>
        <w:widowControl w:val="0"/>
        <w:suppressAutoHyphens/>
        <w:autoSpaceDN w:val="0"/>
        <w:spacing w:after="0" w:line="360" w:lineRule="auto"/>
        <w:ind w:firstLine="709"/>
        <w:jc w:val="both"/>
        <w:rPr>
          <w:rFonts w:ascii="Times New Roman" w:eastAsia="Andale Sans UI" w:hAnsi="Times New Roman" w:cs="Times New Roman"/>
          <w:kern w:val="3"/>
          <w:sz w:val="24"/>
          <w:szCs w:val="24"/>
          <w:lang w:eastAsia="ja-JP" w:bidi="fa-IR"/>
        </w:rPr>
      </w:pPr>
      <w:r w:rsidRPr="00F4104C">
        <w:rPr>
          <w:rFonts w:ascii="Times New Roman" w:eastAsia="Andale Sans UI" w:hAnsi="Times New Roman" w:cs="Times New Roman"/>
          <w:kern w:val="3"/>
          <w:sz w:val="24"/>
          <w:szCs w:val="24"/>
          <w:lang w:eastAsia="ja-JP" w:bidi="fa-IR"/>
        </w:rPr>
        <w:t xml:space="preserve">Sformułowano również cztery hipotezy </w:t>
      </w:r>
      <w:r w:rsidRPr="00F4104C">
        <w:rPr>
          <w:rFonts w:ascii="Times New Roman" w:eastAsia="Calibri" w:hAnsi="Times New Roman" w:cs="Times New Roman"/>
          <w:sz w:val="24"/>
          <w:szCs w:val="24"/>
        </w:rPr>
        <w:t>szczegółowe</w:t>
      </w:r>
      <w:r w:rsidRPr="00F4104C">
        <w:rPr>
          <w:rFonts w:ascii="Times New Roman" w:eastAsia="Andale Sans UI" w:hAnsi="Times New Roman" w:cs="Times New Roman"/>
          <w:kern w:val="3"/>
          <w:sz w:val="24"/>
          <w:szCs w:val="24"/>
          <w:lang w:eastAsia="ja-JP" w:bidi="fa-IR"/>
        </w:rPr>
        <w:t xml:space="preserve"> brzmi</w:t>
      </w:r>
      <w:r w:rsidR="00F4104C">
        <w:rPr>
          <w:rFonts w:ascii="Times New Roman" w:eastAsia="Andale Sans UI" w:hAnsi="Times New Roman" w:cs="Times New Roman"/>
          <w:kern w:val="3"/>
          <w:sz w:val="24"/>
          <w:szCs w:val="24"/>
          <w:lang w:eastAsia="ja-JP" w:bidi="fa-IR"/>
        </w:rPr>
        <w:t>ące</w:t>
      </w:r>
      <w:r w:rsidRPr="00F4104C">
        <w:rPr>
          <w:rFonts w:ascii="Times New Roman" w:eastAsia="Andale Sans UI" w:hAnsi="Times New Roman" w:cs="Times New Roman"/>
          <w:kern w:val="3"/>
          <w:sz w:val="24"/>
          <w:szCs w:val="24"/>
          <w:lang w:eastAsia="ja-JP" w:bidi="fa-IR"/>
        </w:rPr>
        <w:t>:</w:t>
      </w:r>
    </w:p>
    <w:p w14:paraId="65AC0880" w14:textId="7C5A6496" w:rsidR="002412F3" w:rsidRPr="00914D8A" w:rsidRDefault="002412F3" w:rsidP="00F4104C">
      <w:pPr>
        <w:spacing w:after="0" w:line="360" w:lineRule="auto"/>
        <w:contextualSpacing/>
        <w:jc w:val="both"/>
        <w:rPr>
          <w:rFonts w:ascii="Times New Roman" w:eastAsia="Calibri" w:hAnsi="Times New Roman" w:cs="Times New Roman"/>
          <w:sz w:val="24"/>
          <w:szCs w:val="24"/>
        </w:rPr>
      </w:pPr>
      <w:r w:rsidRPr="00914D8A">
        <w:rPr>
          <w:rFonts w:ascii="Times New Roman" w:eastAsia="Calibri" w:hAnsi="Times New Roman" w:cs="Times New Roman"/>
          <w:sz w:val="24"/>
          <w:szCs w:val="24"/>
        </w:rPr>
        <w:t>H</w:t>
      </w:r>
      <w:r w:rsidRPr="00914D8A">
        <w:rPr>
          <w:rFonts w:ascii="Times New Roman" w:eastAsia="Calibri" w:hAnsi="Times New Roman" w:cs="Times New Roman"/>
          <w:sz w:val="24"/>
          <w:szCs w:val="24"/>
          <w:vertAlign w:val="subscript"/>
        </w:rPr>
        <w:t>1</w:t>
      </w:r>
      <w:r w:rsidRPr="00914D8A">
        <w:rPr>
          <w:rFonts w:ascii="Times New Roman" w:eastAsia="Calibri" w:hAnsi="Times New Roman" w:cs="Times New Roman"/>
          <w:sz w:val="24"/>
          <w:szCs w:val="24"/>
        </w:rPr>
        <w:t xml:space="preserve">: </w:t>
      </w:r>
      <w:r w:rsidRPr="00914D8A">
        <w:rPr>
          <w:rFonts w:ascii="Times New Roman" w:hAnsi="Times New Roman" w:cs="Times New Roman"/>
          <w:i/>
          <w:sz w:val="24"/>
          <w:szCs w:val="24"/>
        </w:rPr>
        <w:t xml:space="preserve">Stabilność zatrudnienia jest bardziej </w:t>
      </w:r>
      <w:r w:rsidR="0093540D">
        <w:rPr>
          <w:rFonts w:ascii="Times New Roman" w:hAnsi="Times New Roman" w:cs="Times New Roman"/>
          <w:i/>
          <w:sz w:val="24"/>
          <w:szCs w:val="24"/>
        </w:rPr>
        <w:t>sk</w:t>
      </w:r>
      <w:r w:rsidRPr="00914D8A">
        <w:rPr>
          <w:rFonts w:ascii="Times New Roman" w:hAnsi="Times New Roman" w:cs="Times New Roman"/>
          <w:i/>
          <w:sz w:val="24"/>
          <w:szCs w:val="24"/>
        </w:rPr>
        <w:t>utecznym narzędziem niematerialnym ze środowiska pracy niż pozostałe narzędzia</w:t>
      </w:r>
      <w:r w:rsidRPr="00914D8A">
        <w:rPr>
          <w:rFonts w:ascii="Times New Roman" w:eastAsia="Calibri" w:hAnsi="Times New Roman" w:cs="Times New Roman"/>
          <w:sz w:val="24"/>
          <w:szCs w:val="24"/>
        </w:rPr>
        <w:t>.</w:t>
      </w:r>
    </w:p>
    <w:p w14:paraId="13CF0BB1" w14:textId="3361121A" w:rsidR="002412F3" w:rsidRPr="00914D8A" w:rsidRDefault="002412F3" w:rsidP="00F4104C">
      <w:pPr>
        <w:spacing w:after="0" w:line="360" w:lineRule="auto"/>
        <w:contextualSpacing/>
        <w:jc w:val="both"/>
        <w:rPr>
          <w:rFonts w:ascii="Times New Roman" w:eastAsia="Calibri" w:hAnsi="Times New Roman" w:cs="Times New Roman"/>
          <w:sz w:val="24"/>
          <w:szCs w:val="24"/>
        </w:rPr>
      </w:pPr>
      <w:r w:rsidRPr="00914D8A">
        <w:rPr>
          <w:rFonts w:ascii="Times New Roman" w:eastAsia="Calibri" w:hAnsi="Times New Roman" w:cs="Times New Roman"/>
          <w:sz w:val="24"/>
          <w:szCs w:val="24"/>
        </w:rPr>
        <w:lastRenderedPageBreak/>
        <w:t>H</w:t>
      </w:r>
      <w:r w:rsidRPr="00914D8A">
        <w:rPr>
          <w:rFonts w:ascii="Times New Roman" w:eastAsia="Calibri" w:hAnsi="Times New Roman" w:cs="Times New Roman"/>
          <w:sz w:val="24"/>
          <w:szCs w:val="24"/>
          <w:vertAlign w:val="subscript"/>
        </w:rPr>
        <w:t>2</w:t>
      </w:r>
      <w:r w:rsidRPr="00914D8A">
        <w:rPr>
          <w:rFonts w:ascii="Times New Roman" w:eastAsia="Calibri" w:hAnsi="Times New Roman" w:cs="Times New Roman"/>
          <w:sz w:val="24"/>
          <w:szCs w:val="24"/>
        </w:rPr>
        <w:t xml:space="preserve">: </w:t>
      </w:r>
      <w:r w:rsidRPr="00914D8A">
        <w:rPr>
          <w:rFonts w:ascii="Times New Roman" w:hAnsi="Times New Roman" w:cs="Times New Roman"/>
          <w:i/>
          <w:iCs/>
          <w:sz w:val="24"/>
          <w:szCs w:val="24"/>
        </w:rPr>
        <w:t>Szkolenia wewnętrzne są mniej skutecznym narzędziem niematerialnym w motywowaniu pracowników nisko wynagradzanych niż pozostałe narzędzia</w:t>
      </w:r>
      <w:r w:rsidRPr="00914D8A">
        <w:rPr>
          <w:rFonts w:ascii="Times New Roman" w:eastAsia="Calibri" w:hAnsi="Times New Roman" w:cs="Times New Roman"/>
          <w:sz w:val="24"/>
          <w:szCs w:val="24"/>
        </w:rPr>
        <w:t>.</w:t>
      </w:r>
    </w:p>
    <w:p w14:paraId="09003C14" w14:textId="5BC06A6C" w:rsidR="002412F3" w:rsidRPr="00914D8A" w:rsidRDefault="002412F3" w:rsidP="00F4104C">
      <w:pPr>
        <w:spacing w:after="0" w:line="360" w:lineRule="auto"/>
        <w:contextualSpacing/>
        <w:jc w:val="both"/>
        <w:rPr>
          <w:rFonts w:ascii="Times New Roman" w:eastAsia="Calibri" w:hAnsi="Times New Roman" w:cs="Times New Roman"/>
          <w:sz w:val="24"/>
          <w:szCs w:val="24"/>
        </w:rPr>
      </w:pPr>
      <w:r w:rsidRPr="00914D8A">
        <w:rPr>
          <w:rFonts w:ascii="Times New Roman" w:eastAsia="Calibri" w:hAnsi="Times New Roman" w:cs="Times New Roman"/>
          <w:sz w:val="24"/>
          <w:szCs w:val="24"/>
        </w:rPr>
        <w:t>H</w:t>
      </w:r>
      <w:r w:rsidRPr="00914D8A">
        <w:rPr>
          <w:rFonts w:ascii="Times New Roman" w:eastAsia="Calibri" w:hAnsi="Times New Roman" w:cs="Times New Roman"/>
          <w:sz w:val="24"/>
          <w:szCs w:val="24"/>
          <w:vertAlign w:val="subscript"/>
        </w:rPr>
        <w:t>3</w:t>
      </w:r>
      <w:r w:rsidRPr="00914D8A">
        <w:rPr>
          <w:rFonts w:ascii="Times New Roman" w:eastAsia="Calibri" w:hAnsi="Times New Roman" w:cs="Times New Roman"/>
          <w:sz w:val="24"/>
          <w:szCs w:val="24"/>
        </w:rPr>
        <w:t xml:space="preserve">: </w:t>
      </w:r>
      <w:r w:rsidRPr="00914D8A">
        <w:rPr>
          <w:rFonts w:ascii="Times New Roman" w:hAnsi="Times New Roman" w:cs="Times New Roman"/>
          <w:i/>
          <w:iCs/>
          <w:sz w:val="24"/>
          <w:szCs w:val="24"/>
        </w:rPr>
        <w:t>Narzędzia związane z możliwością rozwoju są częściej stosowane niż pozostałe narzędzia niematerialne</w:t>
      </w:r>
      <w:r w:rsidRPr="00914D8A">
        <w:rPr>
          <w:rFonts w:ascii="Times New Roman" w:eastAsia="Calibri" w:hAnsi="Times New Roman" w:cs="Times New Roman"/>
          <w:sz w:val="24"/>
          <w:szCs w:val="24"/>
        </w:rPr>
        <w:t>.</w:t>
      </w:r>
    </w:p>
    <w:p w14:paraId="690D7646" w14:textId="5B3B9EDB" w:rsidR="002412F3" w:rsidRPr="00914D8A" w:rsidRDefault="002412F3" w:rsidP="00F4104C">
      <w:pPr>
        <w:spacing w:after="0" w:line="360" w:lineRule="auto"/>
        <w:contextualSpacing/>
        <w:jc w:val="both"/>
        <w:rPr>
          <w:rFonts w:ascii="Times New Roman" w:eastAsia="Calibri" w:hAnsi="Times New Roman" w:cs="Times New Roman"/>
          <w:sz w:val="24"/>
          <w:szCs w:val="24"/>
        </w:rPr>
      </w:pPr>
      <w:r w:rsidRPr="00914D8A">
        <w:rPr>
          <w:rFonts w:ascii="Times New Roman" w:eastAsia="Calibri" w:hAnsi="Times New Roman" w:cs="Times New Roman"/>
          <w:sz w:val="24"/>
          <w:szCs w:val="24"/>
        </w:rPr>
        <w:t>H</w:t>
      </w:r>
      <w:r w:rsidRPr="00914D8A">
        <w:rPr>
          <w:rFonts w:ascii="Times New Roman" w:eastAsia="Calibri" w:hAnsi="Times New Roman" w:cs="Times New Roman"/>
          <w:sz w:val="24"/>
          <w:szCs w:val="24"/>
          <w:vertAlign w:val="subscript"/>
        </w:rPr>
        <w:t>4</w:t>
      </w:r>
      <w:r w:rsidRPr="00914D8A">
        <w:rPr>
          <w:rFonts w:ascii="Times New Roman" w:eastAsia="Calibri" w:hAnsi="Times New Roman" w:cs="Times New Roman"/>
          <w:sz w:val="24"/>
          <w:szCs w:val="24"/>
        </w:rPr>
        <w:t xml:space="preserve">: </w:t>
      </w:r>
      <w:r w:rsidRPr="00914D8A">
        <w:rPr>
          <w:rFonts w:ascii="Times New Roman" w:hAnsi="Times New Roman" w:cs="Times New Roman"/>
          <w:i/>
          <w:sz w:val="24"/>
          <w:szCs w:val="24"/>
        </w:rPr>
        <w:t>Narzędzia związane ze środowiskiem pracy są bardziej skuteczne niż narzędzia związane z</w:t>
      </w:r>
      <w:r w:rsidR="006545F6">
        <w:rPr>
          <w:rFonts w:ascii="Times New Roman" w:hAnsi="Times New Roman" w:cs="Times New Roman"/>
          <w:i/>
          <w:sz w:val="24"/>
          <w:szCs w:val="24"/>
        </w:rPr>
        <w:t> </w:t>
      </w:r>
      <w:r w:rsidRPr="00914D8A">
        <w:rPr>
          <w:rFonts w:ascii="Times New Roman" w:hAnsi="Times New Roman" w:cs="Times New Roman"/>
          <w:i/>
          <w:sz w:val="24"/>
          <w:szCs w:val="24"/>
        </w:rPr>
        <w:t>realizacją zadań i możliwością rozwoju w motywowaniu pracowników nisko wynagradzanych</w:t>
      </w:r>
      <w:r w:rsidRPr="00914D8A">
        <w:rPr>
          <w:rFonts w:ascii="Times New Roman" w:eastAsia="Calibri" w:hAnsi="Times New Roman" w:cs="Times New Roman"/>
          <w:sz w:val="24"/>
          <w:szCs w:val="24"/>
        </w:rPr>
        <w:t>.</w:t>
      </w:r>
    </w:p>
    <w:p w14:paraId="51ABF76C" w14:textId="1995AB70" w:rsidR="002412F3" w:rsidRPr="00914D8A" w:rsidRDefault="002412F3" w:rsidP="00484361">
      <w:pPr>
        <w:autoSpaceDE w:val="0"/>
        <w:autoSpaceDN w:val="0"/>
        <w:adjustRightInd w:val="0"/>
        <w:spacing w:after="0" w:line="360" w:lineRule="auto"/>
        <w:ind w:firstLine="709"/>
        <w:jc w:val="both"/>
        <w:rPr>
          <w:rFonts w:ascii="Times New Roman" w:hAnsi="Times New Roman" w:cs="Times New Roman"/>
          <w:noProof/>
          <w:sz w:val="24"/>
          <w:szCs w:val="24"/>
        </w:rPr>
      </w:pPr>
      <w:r w:rsidRPr="00914D8A">
        <w:rPr>
          <w:rFonts w:ascii="Times New Roman" w:hAnsi="Times New Roman" w:cs="Times New Roman"/>
          <w:sz w:val="24"/>
          <w:szCs w:val="24"/>
        </w:rPr>
        <w:t>Na potrzeby badań został opracowany model badawczy przedstawiający zależności pomiędzy niematerialnymi narzędziami a motywacją pracowników, które zosta</w:t>
      </w:r>
      <w:r w:rsidR="00704253">
        <w:rPr>
          <w:rFonts w:ascii="Times New Roman" w:hAnsi="Times New Roman" w:cs="Times New Roman"/>
          <w:sz w:val="24"/>
          <w:szCs w:val="24"/>
        </w:rPr>
        <w:t>ły</w:t>
      </w:r>
      <w:r w:rsidRPr="00914D8A">
        <w:rPr>
          <w:rFonts w:ascii="Times New Roman" w:hAnsi="Times New Roman" w:cs="Times New Roman"/>
          <w:sz w:val="24"/>
          <w:szCs w:val="24"/>
        </w:rPr>
        <w:t xml:space="preserve"> zbadane empirycznie. Model ten służy zarówno osiągnięciu postawionych w pracy celów, jak i</w:t>
      </w:r>
      <w:r w:rsidR="004B4076">
        <w:rPr>
          <w:rFonts w:ascii="Times New Roman" w:hAnsi="Times New Roman" w:cs="Times New Roman"/>
          <w:sz w:val="24"/>
          <w:szCs w:val="24"/>
        </w:rPr>
        <w:t> </w:t>
      </w:r>
      <w:r w:rsidRPr="00914D8A">
        <w:rPr>
          <w:rFonts w:ascii="Times New Roman" w:hAnsi="Times New Roman" w:cs="Times New Roman"/>
          <w:sz w:val="24"/>
          <w:szCs w:val="24"/>
        </w:rPr>
        <w:t xml:space="preserve">umożliwia weryfikację zależności zawartych w hipotezach. </w:t>
      </w:r>
      <w:r w:rsidRPr="00914D8A">
        <w:rPr>
          <w:rFonts w:ascii="Times New Roman" w:eastAsia="Calibri" w:hAnsi="Times New Roman" w:cs="Times New Roman"/>
          <w:sz w:val="24"/>
          <w:szCs w:val="24"/>
        </w:rPr>
        <w:t>Zaproponowany przez autorkę pracy model badawczy oparty na analizie korelacji pozwala stwierdzić</w:t>
      </w:r>
      <w:r w:rsidR="00704253">
        <w:rPr>
          <w:rFonts w:ascii="Times New Roman" w:eastAsia="Calibri" w:hAnsi="Times New Roman" w:cs="Times New Roman"/>
          <w:sz w:val="24"/>
          <w:szCs w:val="24"/>
        </w:rPr>
        <w:t>,</w:t>
      </w:r>
      <w:r w:rsidRPr="00914D8A">
        <w:rPr>
          <w:rFonts w:ascii="Times New Roman" w:eastAsia="Calibri" w:hAnsi="Times New Roman" w:cs="Times New Roman"/>
          <w:sz w:val="24"/>
          <w:szCs w:val="24"/>
        </w:rPr>
        <w:t xml:space="preserve"> czy występuje </w:t>
      </w:r>
      <w:r w:rsidRPr="00914D8A">
        <w:rPr>
          <w:rFonts w:ascii="Times New Roman" w:hAnsi="Times New Roman" w:cs="Times New Roman"/>
          <w:sz w:val="24"/>
          <w:szCs w:val="24"/>
        </w:rPr>
        <w:t>powiązanie dwóch zmiennych</w:t>
      </w:r>
      <w:r w:rsidR="00F4104C">
        <w:rPr>
          <w:rFonts w:ascii="Times New Roman" w:hAnsi="Times New Roman" w:cs="Times New Roman"/>
          <w:sz w:val="24"/>
          <w:szCs w:val="24"/>
        </w:rPr>
        <w:t>.</w:t>
      </w:r>
      <w:r w:rsidRPr="00914D8A">
        <w:rPr>
          <w:rFonts w:ascii="Times New Roman" w:hAnsi="Times New Roman" w:cs="Times New Roman"/>
          <w:sz w:val="24"/>
          <w:szCs w:val="24"/>
        </w:rPr>
        <w:t xml:space="preserve"> Warianty pierwszej </w:t>
      </w:r>
      <w:r w:rsidRPr="00914D8A">
        <w:rPr>
          <w:rFonts w:ascii="Times New Roman" w:eastAsia="Calibri" w:hAnsi="Times New Roman" w:cs="Times New Roman"/>
          <w:sz w:val="24"/>
          <w:szCs w:val="24"/>
        </w:rPr>
        <w:t>zmiennej określają narzędzia (związane z</w:t>
      </w:r>
      <w:r w:rsidR="004B4076">
        <w:rPr>
          <w:rFonts w:ascii="Times New Roman" w:eastAsia="Calibri" w:hAnsi="Times New Roman" w:cs="Times New Roman"/>
          <w:sz w:val="24"/>
          <w:szCs w:val="24"/>
        </w:rPr>
        <w:t> </w:t>
      </w:r>
      <w:r w:rsidRPr="00914D8A">
        <w:rPr>
          <w:rFonts w:ascii="Times New Roman" w:eastAsia="Calibri" w:hAnsi="Times New Roman" w:cs="Times New Roman"/>
          <w:sz w:val="24"/>
          <w:szCs w:val="24"/>
        </w:rPr>
        <w:t xml:space="preserve">realizacją zadań, ze środowiskiem pracy i z możliwością rozwoju), a druga zmienna dotyczy skuteczności motywowania. Na podstawie tego modelu </w:t>
      </w:r>
      <w:hyperlink r:id="rId7" w:history="1">
        <w:r w:rsidRPr="00914D8A">
          <w:rPr>
            <w:rFonts w:ascii="Times New Roman" w:hAnsi="Times New Roman" w:cs="Times New Roman"/>
            <w:sz w:val="24"/>
            <w:szCs w:val="24"/>
          </w:rPr>
          <w:t>oszacowan</w:t>
        </w:r>
        <w:r w:rsidR="00704253">
          <w:rPr>
            <w:rFonts w:ascii="Times New Roman" w:hAnsi="Times New Roman" w:cs="Times New Roman"/>
            <w:sz w:val="24"/>
            <w:szCs w:val="24"/>
          </w:rPr>
          <w:t>o</w:t>
        </w:r>
      </w:hyperlink>
      <w:r w:rsidRPr="00914D8A">
        <w:rPr>
          <w:rFonts w:ascii="Times New Roman" w:hAnsi="Times New Roman" w:cs="Times New Roman"/>
          <w:sz w:val="24"/>
          <w:szCs w:val="24"/>
        </w:rPr>
        <w:t xml:space="preserve"> zależności (stopień korelacji) pomiędzy tymi zmiennymi. Relacje pomiędzy przyjętymi zmiennymi odnoszą się do tego, czy narzędzia niematerialne</w:t>
      </w:r>
      <w:r w:rsidRPr="00914D8A">
        <w:rPr>
          <w:rFonts w:ascii="Times New Roman" w:eastAsia="Calibri" w:hAnsi="Times New Roman" w:cs="Times New Roman"/>
          <w:sz w:val="24"/>
          <w:szCs w:val="24"/>
        </w:rPr>
        <w:t xml:space="preserve"> determinują motywowanie pracowników nisko wynagradzanych. Do pomiaru stopnia skuteczności motywowania zostały wykorzystane wskaźniki skuteczności, </w:t>
      </w:r>
      <w:r w:rsidR="00AB3DA8">
        <w:rPr>
          <w:rFonts w:ascii="Times New Roman" w:eastAsia="Calibri" w:hAnsi="Times New Roman" w:cs="Times New Roman"/>
          <w:sz w:val="24"/>
          <w:szCs w:val="24"/>
        </w:rPr>
        <w:t>opracowane</w:t>
      </w:r>
      <w:r w:rsidRPr="00914D8A">
        <w:rPr>
          <w:rFonts w:ascii="Times New Roman" w:eastAsia="Calibri" w:hAnsi="Times New Roman" w:cs="Times New Roman"/>
          <w:sz w:val="24"/>
          <w:szCs w:val="24"/>
        </w:rPr>
        <w:t xml:space="preserve"> przez autorkę pracy.</w:t>
      </w:r>
      <w:r w:rsidR="00484361">
        <w:rPr>
          <w:rFonts w:ascii="Times New Roman" w:eastAsia="Calibri" w:hAnsi="Times New Roman" w:cs="Times New Roman"/>
          <w:sz w:val="24"/>
          <w:szCs w:val="24"/>
        </w:rPr>
        <w:t xml:space="preserve"> </w:t>
      </w:r>
      <w:r w:rsidRPr="00914D8A">
        <w:rPr>
          <w:rFonts w:ascii="Times New Roman" w:hAnsi="Times New Roman" w:cs="Times New Roman"/>
          <w:sz w:val="24"/>
          <w:szCs w:val="24"/>
          <w:lang w:eastAsia="ko-KR" w:bidi="he-IL"/>
        </w:rPr>
        <w:t>Autorka sformułowała</w:t>
      </w:r>
      <w:r w:rsidR="00484361">
        <w:rPr>
          <w:rFonts w:ascii="Times New Roman" w:hAnsi="Times New Roman" w:cs="Times New Roman"/>
          <w:sz w:val="24"/>
          <w:szCs w:val="24"/>
          <w:lang w:eastAsia="ko-KR" w:bidi="he-IL"/>
        </w:rPr>
        <w:t xml:space="preserve"> trzy</w:t>
      </w:r>
      <w:r w:rsidRPr="00914D8A">
        <w:rPr>
          <w:rFonts w:ascii="Times New Roman" w:hAnsi="Times New Roman" w:cs="Times New Roman"/>
          <w:sz w:val="24"/>
          <w:szCs w:val="24"/>
          <w:lang w:eastAsia="ko-KR" w:bidi="he-IL"/>
        </w:rPr>
        <w:t xml:space="preserve"> pytania badawcze</w:t>
      </w:r>
      <w:r w:rsidR="00484361">
        <w:rPr>
          <w:rFonts w:ascii="Times New Roman" w:hAnsi="Times New Roman" w:cs="Times New Roman"/>
          <w:sz w:val="24"/>
          <w:szCs w:val="24"/>
          <w:lang w:eastAsia="ko-KR" w:bidi="he-IL"/>
        </w:rPr>
        <w:t>.</w:t>
      </w:r>
    </w:p>
    <w:p w14:paraId="7E0004E2" w14:textId="77777777" w:rsidR="00001DAB" w:rsidRDefault="002412F3" w:rsidP="00A43589">
      <w:pPr>
        <w:spacing w:after="0" w:line="360" w:lineRule="auto"/>
        <w:ind w:firstLine="709"/>
        <w:jc w:val="both"/>
        <w:rPr>
          <w:rFonts w:ascii="Times New Roman" w:hAnsi="Times New Roman" w:cs="Times New Roman"/>
          <w:sz w:val="24"/>
          <w:szCs w:val="24"/>
        </w:rPr>
      </w:pPr>
      <w:r w:rsidRPr="00914D8A">
        <w:rPr>
          <w:rFonts w:ascii="Times New Roman" w:eastAsiaTheme="minorEastAsia" w:hAnsi="Times New Roman" w:cs="Times New Roman"/>
          <w:sz w:val="24"/>
          <w:szCs w:val="24"/>
          <w:lang w:eastAsia="zh-TW"/>
        </w:rPr>
        <w:t xml:space="preserve">W pracy zaproponowano </w:t>
      </w:r>
      <w:r w:rsidRPr="00914D8A">
        <w:rPr>
          <w:rFonts w:ascii="Times New Roman" w:hAnsi="Times New Roman" w:cs="Times New Roman"/>
          <w:sz w:val="24"/>
          <w:szCs w:val="24"/>
        </w:rPr>
        <w:t xml:space="preserve">mierniki pomiaru siły w celu zbadania wpływu </w:t>
      </w:r>
      <w:r w:rsidRPr="00914D8A">
        <w:rPr>
          <w:rFonts w:ascii="Times New Roman" w:eastAsia="Calibri" w:hAnsi="Times New Roman" w:cs="Times New Roman"/>
          <w:sz w:val="24"/>
          <w:szCs w:val="24"/>
        </w:rPr>
        <w:t>poszczególnych narzędzi niematerialnych na motywowanie pracowników nisko wynagradzanych z sektora usług opiekuńczych</w:t>
      </w:r>
      <w:r w:rsidRPr="00914D8A">
        <w:rPr>
          <w:rFonts w:ascii="Times New Roman" w:hAnsi="Times New Roman" w:cs="Times New Roman"/>
          <w:sz w:val="24"/>
          <w:szCs w:val="24"/>
        </w:rPr>
        <w:t>. W badaniu ilościowym wykorzystan</w:t>
      </w:r>
      <w:r w:rsidR="00AB3DA8">
        <w:rPr>
          <w:rFonts w:ascii="Times New Roman" w:hAnsi="Times New Roman" w:cs="Times New Roman"/>
          <w:sz w:val="24"/>
          <w:szCs w:val="24"/>
        </w:rPr>
        <w:t>o</w:t>
      </w:r>
      <w:r w:rsidRPr="00914D8A">
        <w:rPr>
          <w:rFonts w:ascii="Times New Roman" w:hAnsi="Times New Roman" w:cs="Times New Roman"/>
          <w:sz w:val="24"/>
          <w:szCs w:val="24"/>
        </w:rPr>
        <w:t xml:space="preserve"> ankiety</w:t>
      </w:r>
      <w:r w:rsidR="00AB3DA8">
        <w:rPr>
          <w:rFonts w:ascii="Times New Roman" w:hAnsi="Times New Roman" w:cs="Times New Roman"/>
          <w:sz w:val="24"/>
          <w:szCs w:val="24"/>
        </w:rPr>
        <w:t xml:space="preserve"> a w </w:t>
      </w:r>
      <w:r w:rsidRPr="00914D8A">
        <w:rPr>
          <w:rFonts w:ascii="Times New Roman" w:hAnsi="Times New Roman" w:cs="Times New Roman"/>
          <w:sz w:val="24"/>
          <w:szCs w:val="24"/>
        </w:rPr>
        <w:t>badaniu jakościowym wywiad</w:t>
      </w:r>
      <w:r w:rsidR="00AB3DA8">
        <w:rPr>
          <w:rFonts w:ascii="Times New Roman" w:hAnsi="Times New Roman" w:cs="Times New Roman"/>
          <w:sz w:val="24"/>
          <w:szCs w:val="24"/>
        </w:rPr>
        <w:t xml:space="preserve">y </w:t>
      </w:r>
      <w:r w:rsidRPr="00914D8A">
        <w:rPr>
          <w:rFonts w:ascii="Times New Roman" w:hAnsi="Times New Roman" w:cs="Times New Roman"/>
          <w:sz w:val="24"/>
          <w:szCs w:val="24"/>
        </w:rPr>
        <w:t>indywidualn</w:t>
      </w:r>
      <w:r w:rsidR="00AB3DA8">
        <w:rPr>
          <w:rFonts w:ascii="Times New Roman" w:hAnsi="Times New Roman" w:cs="Times New Roman"/>
          <w:sz w:val="24"/>
          <w:szCs w:val="24"/>
        </w:rPr>
        <w:t>e</w:t>
      </w:r>
      <w:r w:rsidRPr="00914D8A">
        <w:rPr>
          <w:rFonts w:ascii="Times New Roman" w:hAnsi="Times New Roman" w:cs="Times New Roman"/>
          <w:sz w:val="24"/>
          <w:szCs w:val="24"/>
        </w:rPr>
        <w:t>, niestandaryzowan</w:t>
      </w:r>
      <w:r w:rsidR="00AB3DA8">
        <w:rPr>
          <w:rFonts w:ascii="Times New Roman" w:hAnsi="Times New Roman" w:cs="Times New Roman"/>
          <w:sz w:val="24"/>
          <w:szCs w:val="24"/>
        </w:rPr>
        <w:t>e</w:t>
      </w:r>
      <w:r w:rsidRPr="00914D8A">
        <w:rPr>
          <w:rFonts w:ascii="Times New Roman" w:hAnsi="Times New Roman" w:cs="Times New Roman"/>
          <w:sz w:val="24"/>
          <w:szCs w:val="24"/>
        </w:rPr>
        <w:t>, z wykorzystaniem scenariusza.</w:t>
      </w:r>
      <w:r w:rsidR="00AB3DA8">
        <w:rPr>
          <w:rFonts w:ascii="Times New Roman" w:hAnsi="Times New Roman" w:cs="Times New Roman"/>
          <w:sz w:val="24"/>
          <w:szCs w:val="24"/>
        </w:rPr>
        <w:t xml:space="preserve"> </w:t>
      </w:r>
      <w:r w:rsidRPr="00914D8A">
        <w:rPr>
          <w:rFonts w:ascii="Times New Roman" w:hAnsi="Times New Roman" w:cs="Times New Roman"/>
          <w:sz w:val="24"/>
          <w:szCs w:val="24"/>
        </w:rPr>
        <w:t xml:space="preserve">Badania przeprowadzono na próbie 170 osób, w tym 160 pracowników szeregowych (ankiety) i 10 menedżerów (wywiady). </w:t>
      </w:r>
      <w:bookmarkEnd w:id="6"/>
      <w:r w:rsidR="00D91F39">
        <w:rPr>
          <w:rFonts w:ascii="Times New Roman" w:hAnsi="Times New Roman" w:cs="Times New Roman"/>
          <w:sz w:val="24"/>
          <w:szCs w:val="24"/>
        </w:rPr>
        <w:t xml:space="preserve">Wyniki badań umożliwiły autorce </w:t>
      </w:r>
      <w:r w:rsidR="00001DAB">
        <w:rPr>
          <w:rFonts w:ascii="Times New Roman" w:hAnsi="Times New Roman" w:cs="Times New Roman"/>
          <w:sz w:val="24"/>
          <w:szCs w:val="24"/>
        </w:rPr>
        <w:t>przeprowadzenie analizy tego</w:t>
      </w:r>
      <w:r w:rsidRPr="00914D8A">
        <w:rPr>
          <w:rFonts w:ascii="Times New Roman" w:hAnsi="Times New Roman" w:cs="Times New Roman"/>
          <w:sz w:val="24"/>
          <w:szCs w:val="24"/>
        </w:rPr>
        <w:t>, jak pracownicy ocenili niematerialne narzędzia motywowania, które najbardziej/najmniej motywowały ich do pracy</w:t>
      </w:r>
      <w:r w:rsidR="00001DAB">
        <w:rPr>
          <w:rFonts w:ascii="Times New Roman" w:hAnsi="Times New Roman" w:cs="Times New Roman"/>
          <w:sz w:val="24"/>
          <w:szCs w:val="24"/>
        </w:rPr>
        <w:t>, a także tego, jak</w:t>
      </w:r>
      <w:r w:rsidRPr="00914D8A">
        <w:rPr>
          <w:rFonts w:ascii="Times New Roman" w:hAnsi="Times New Roman" w:cs="Times New Roman"/>
          <w:sz w:val="24"/>
          <w:szCs w:val="24"/>
        </w:rPr>
        <w:t xml:space="preserve"> menedżer</w:t>
      </w:r>
      <w:r w:rsidR="00001DAB">
        <w:rPr>
          <w:rFonts w:ascii="Times New Roman" w:hAnsi="Times New Roman" w:cs="Times New Roman"/>
          <w:sz w:val="24"/>
          <w:szCs w:val="24"/>
        </w:rPr>
        <w:t>owie</w:t>
      </w:r>
      <w:r w:rsidRPr="00914D8A">
        <w:rPr>
          <w:rFonts w:ascii="Times New Roman" w:hAnsi="Times New Roman" w:cs="Times New Roman"/>
          <w:sz w:val="24"/>
          <w:szCs w:val="24"/>
        </w:rPr>
        <w:t xml:space="preserve"> </w:t>
      </w:r>
      <w:r w:rsidR="00001DAB">
        <w:rPr>
          <w:rFonts w:ascii="Times New Roman" w:hAnsi="Times New Roman" w:cs="Times New Roman"/>
          <w:sz w:val="24"/>
          <w:szCs w:val="24"/>
        </w:rPr>
        <w:t>ocenili</w:t>
      </w:r>
      <w:r w:rsidRPr="00914D8A">
        <w:rPr>
          <w:rFonts w:ascii="Times New Roman" w:hAnsi="Times New Roman" w:cs="Times New Roman"/>
          <w:sz w:val="24"/>
          <w:szCs w:val="24"/>
        </w:rPr>
        <w:t xml:space="preserve"> stosowani</w:t>
      </w:r>
      <w:r w:rsidR="00001DAB">
        <w:rPr>
          <w:rFonts w:ascii="Times New Roman" w:hAnsi="Times New Roman" w:cs="Times New Roman"/>
          <w:sz w:val="24"/>
          <w:szCs w:val="24"/>
        </w:rPr>
        <w:t>e</w:t>
      </w:r>
      <w:r w:rsidRPr="00914D8A">
        <w:rPr>
          <w:rFonts w:ascii="Times New Roman" w:hAnsi="Times New Roman" w:cs="Times New Roman"/>
          <w:sz w:val="24"/>
          <w:szCs w:val="24"/>
        </w:rPr>
        <w:t xml:space="preserve"> niematerialnych narzędzi motywowania pracowników oraz narzędzi, które najbardziej motywują/demotywują do pracy. </w:t>
      </w:r>
    </w:p>
    <w:p w14:paraId="6088C11B" w14:textId="65CEF1A9" w:rsidR="00ED1E28" w:rsidRPr="00914D8A" w:rsidRDefault="00001DAB" w:rsidP="00A43589">
      <w:pPr>
        <w:spacing w:after="0" w:line="360" w:lineRule="auto"/>
        <w:ind w:firstLine="709"/>
        <w:jc w:val="both"/>
        <w:rPr>
          <w:rFonts w:ascii="Times New Roman" w:hAnsi="Times New Roman" w:cs="Times New Roman"/>
        </w:rPr>
      </w:pPr>
      <w:r>
        <w:rPr>
          <w:rFonts w:ascii="Times New Roman" w:hAnsi="Times New Roman" w:cs="Times New Roman"/>
          <w:sz w:val="24"/>
          <w:szCs w:val="24"/>
        </w:rPr>
        <w:t>Pracę kończą</w:t>
      </w:r>
      <w:r w:rsidR="002412F3" w:rsidRPr="00914D8A">
        <w:rPr>
          <w:rFonts w:ascii="Times New Roman" w:eastAsiaTheme="minorEastAsia" w:hAnsi="Times New Roman" w:cs="Times New Roman"/>
          <w:sz w:val="24"/>
          <w:szCs w:val="24"/>
          <w:lang w:eastAsia="ko-KR"/>
        </w:rPr>
        <w:t xml:space="preserve"> </w:t>
      </w:r>
      <w:r w:rsidR="002412F3" w:rsidRPr="00914D8A">
        <w:rPr>
          <w:rFonts w:ascii="Times New Roman" w:hAnsi="Times New Roman" w:cs="Times New Roman"/>
          <w:sz w:val="24"/>
          <w:szCs w:val="24"/>
        </w:rPr>
        <w:t>wnioski z przeprowadzonej analizy i rekomendacje, które w opinii autorki powinny być wzięte pod uwagę w procesie motywowania pracowników nisko wynagradzanych.</w:t>
      </w:r>
    </w:p>
    <w:sectPr w:rsidR="00ED1E28" w:rsidRPr="00914D8A" w:rsidSect="00D81DB7">
      <w:footerReference w:type="default" r:id="rId8"/>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BEEA" w14:textId="77777777" w:rsidR="001A195F" w:rsidRDefault="001A195F" w:rsidP="002412F3">
      <w:pPr>
        <w:spacing w:after="0" w:line="240" w:lineRule="auto"/>
      </w:pPr>
      <w:r>
        <w:separator/>
      </w:r>
    </w:p>
  </w:endnote>
  <w:endnote w:type="continuationSeparator" w:id="0">
    <w:p w14:paraId="166BE18D" w14:textId="77777777" w:rsidR="001A195F" w:rsidRDefault="001A195F" w:rsidP="0024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3212"/>
      <w:docPartObj>
        <w:docPartGallery w:val="Page Numbers (Bottom of Page)"/>
        <w:docPartUnique/>
      </w:docPartObj>
    </w:sdtPr>
    <w:sdtEndPr>
      <w:rPr>
        <w:rFonts w:ascii="Times New Roman" w:hAnsi="Times New Roman"/>
        <w:sz w:val="24"/>
        <w:szCs w:val="24"/>
      </w:rPr>
    </w:sdtEndPr>
    <w:sdtContent>
      <w:p w14:paraId="633AB6AB" w14:textId="0C36C4BC" w:rsidR="00D81DB7" w:rsidRPr="00D81DB7" w:rsidRDefault="00D81DB7" w:rsidP="00D81DB7">
        <w:pPr>
          <w:pStyle w:val="Footer"/>
          <w:spacing w:before="240"/>
          <w:jc w:val="center"/>
          <w:rPr>
            <w:rFonts w:ascii="Times New Roman" w:hAnsi="Times New Roman"/>
            <w:sz w:val="24"/>
            <w:szCs w:val="24"/>
          </w:rPr>
        </w:pPr>
        <w:r w:rsidRPr="00D81DB7">
          <w:rPr>
            <w:rFonts w:ascii="Times New Roman" w:hAnsi="Times New Roman"/>
            <w:sz w:val="24"/>
            <w:szCs w:val="24"/>
          </w:rPr>
          <w:fldChar w:fldCharType="begin"/>
        </w:r>
        <w:r w:rsidRPr="00D81DB7">
          <w:rPr>
            <w:rFonts w:ascii="Times New Roman" w:hAnsi="Times New Roman"/>
            <w:sz w:val="24"/>
            <w:szCs w:val="24"/>
          </w:rPr>
          <w:instrText>PAGE   \* MERGEFORMAT</w:instrText>
        </w:r>
        <w:r w:rsidRPr="00D81DB7">
          <w:rPr>
            <w:rFonts w:ascii="Times New Roman" w:hAnsi="Times New Roman"/>
            <w:sz w:val="24"/>
            <w:szCs w:val="24"/>
          </w:rPr>
          <w:fldChar w:fldCharType="separate"/>
        </w:r>
        <w:r w:rsidRPr="00D81DB7">
          <w:rPr>
            <w:rFonts w:ascii="Times New Roman" w:hAnsi="Times New Roman"/>
            <w:sz w:val="24"/>
            <w:szCs w:val="24"/>
          </w:rPr>
          <w:t>2</w:t>
        </w:r>
        <w:r w:rsidRPr="00D81DB7">
          <w:rPr>
            <w:rFonts w:ascii="Times New Roman" w:hAnsi="Times New Roman"/>
            <w:sz w:val="24"/>
            <w:szCs w:val="24"/>
          </w:rPr>
          <w:fldChar w:fldCharType="end"/>
        </w:r>
      </w:p>
    </w:sdtContent>
  </w:sdt>
  <w:p w14:paraId="453DDE5E" w14:textId="77777777" w:rsidR="002412F3" w:rsidRDefault="0024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04BA" w14:textId="77777777" w:rsidR="001A195F" w:rsidRDefault="001A195F" w:rsidP="002412F3">
      <w:pPr>
        <w:spacing w:after="0" w:line="240" w:lineRule="auto"/>
      </w:pPr>
      <w:r>
        <w:separator/>
      </w:r>
    </w:p>
  </w:footnote>
  <w:footnote w:type="continuationSeparator" w:id="0">
    <w:p w14:paraId="2001802B" w14:textId="77777777" w:rsidR="001A195F" w:rsidRDefault="001A195F" w:rsidP="0024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11"/>
    <w:multiLevelType w:val="hybridMultilevel"/>
    <w:tmpl w:val="3D763D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2465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28"/>
    <w:rsid w:val="00001DAB"/>
    <w:rsid w:val="0012223C"/>
    <w:rsid w:val="001A195F"/>
    <w:rsid w:val="002412F3"/>
    <w:rsid w:val="002A6EBE"/>
    <w:rsid w:val="0033345D"/>
    <w:rsid w:val="00484361"/>
    <w:rsid w:val="004B4076"/>
    <w:rsid w:val="0064295E"/>
    <w:rsid w:val="006545F6"/>
    <w:rsid w:val="00704253"/>
    <w:rsid w:val="00710817"/>
    <w:rsid w:val="007743D1"/>
    <w:rsid w:val="007F135A"/>
    <w:rsid w:val="00897A0C"/>
    <w:rsid w:val="00914D8A"/>
    <w:rsid w:val="0092405A"/>
    <w:rsid w:val="0093540D"/>
    <w:rsid w:val="00977532"/>
    <w:rsid w:val="00A43589"/>
    <w:rsid w:val="00AA6ED8"/>
    <w:rsid w:val="00AB3DA8"/>
    <w:rsid w:val="00BA3625"/>
    <w:rsid w:val="00D81DB7"/>
    <w:rsid w:val="00D91F39"/>
    <w:rsid w:val="00DE2AA0"/>
    <w:rsid w:val="00DF48B3"/>
    <w:rsid w:val="00ED1E28"/>
    <w:rsid w:val="00F330C7"/>
    <w:rsid w:val="00F4104C"/>
  </w:rsids>
  <m:mathPr>
    <m:mathFont m:val="Cambria Math"/>
    <m:brkBin m:val="before"/>
    <m:brkBinSub m:val="--"/>
    <m:smallFrac m:val="0"/>
    <m:dispDef/>
    <m:lMargin m:val="0"/>
    <m:rMargin m:val="0"/>
    <m:defJc m:val="centerGroup"/>
    <m:wrapIndent m:val="1440"/>
    <m:intLim m:val="subSup"/>
    <m:naryLim m:val="undOvr"/>
  </m:mathPr>
  <w:themeFontLang w:val="pl-PL"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E237"/>
  <w15:chartTrackingRefBased/>
  <w15:docId w15:val="{159710C2-714B-41BF-ACFD-8995FF3E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F3"/>
    <w:pPr>
      <w:spacing w:after="200" w:line="276" w:lineRule="auto"/>
      <w:ind w:left="720"/>
      <w:contextualSpacing/>
    </w:pPr>
    <w:rPr>
      <w:rFonts w:ascii="Calibri" w:eastAsia="Calibri" w:hAnsi="Calibri" w:cs="Times New Roman"/>
      <w:kern w:val="0"/>
      <w14:ligatures w14:val="none"/>
    </w:rPr>
  </w:style>
  <w:style w:type="character" w:customStyle="1" w:styleId="normaltextrun">
    <w:name w:val="normaltextrun"/>
    <w:basedOn w:val="DefaultParagraphFont"/>
    <w:rsid w:val="002412F3"/>
  </w:style>
  <w:style w:type="character" w:customStyle="1" w:styleId="eop">
    <w:name w:val="eop"/>
    <w:basedOn w:val="DefaultParagraphFont"/>
    <w:rsid w:val="002412F3"/>
  </w:style>
  <w:style w:type="paragraph" w:styleId="Footer">
    <w:name w:val="footer"/>
    <w:basedOn w:val="Normal"/>
    <w:link w:val="FooterChar"/>
    <w:uiPriority w:val="99"/>
    <w:unhideWhenUsed/>
    <w:rsid w:val="002412F3"/>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2412F3"/>
    <w:rPr>
      <w:rFonts w:ascii="Calibri" w:eastAsia="Calibri" w:hAnsi="Calibri" w:cs="Times New Roman"/>
      <w:kern w:val="0"/>
      <w14:ligatures w14:val="none"/>
    </w:rPr>
  </w:style>
  <w:style w:type="character" w:styleId="Strong">
    <w:name w:val="Strong"/>
    <w:uiPriority w:val="22"/>
    <w:qFormat/>
    <w:rsid w:val="002412F3"/>
    <w:rPr>
      <w:b/>
      <w:bCs/>
    </w:rPr>
  </w:style>
  <w:style w:type="paragraph" w:styleId="FootnoteText">
    <w:name w:val="footnote text"/>
    <w:basedOn w:val="Normal"/>
    <w:link w:val="FootnoteTextChar"/>
    <w:uiPriority w:val="99"/>
    <w:unhideWhenUsed/>
    <w:rsid w:val="002412F3"/>
    <w:pPr>
      <w:spacing w:after="0" w:line="240" w:lineRule="auto"/>
    </w:pPr>
    <w:rPr>
      <w:rFonts w:ascii="Calibri" w:eastAsia="Calibri" w:hAnsi="Calibri" w:cs="Times New Roman"/>
      <w:kern w:val="0"/>
      <w:sz w:val="20"/>
      <w:szCs w:val="20"/>
      <w:lang w:eastAsia="pl-PL"/>
      <w14:ligatures w14:val="none"/>
    </w:rPr>
  </w:style>
  <w:style w:type="character" w:customStyle="1" w:styleId="FootnoteTextChar">
    <w:name w:val="Footnote Text Char"/>
    <w:basedOn w:val="DefaultParagraphFont"/>
    <w:link w:val="FootnoteText"/>
    <w:uiPriority w:val="99"/>
    <w:rsid w:val="002412F3"/>
    <w:rPr>
      <w:rFonts w:ascii="Calibri" w:eastAsia="Calibri" w:hAnsi="Calibri" w:cs="Times New Roman"/>
      <w:kern w:val="0"/>
      <w:sz w:val="20"/>
      <w:szCs w:val="20"/>
      <w:lang w:eastAsia="pl-PL"/>
      <w14:ligatures w14:val="none"/>
    </w:rPr>
  </w:style>
  <w:style w:type="character" w:styleId="FootnoteReference">
    <w:name w:val="footnote reference"/>
    <w:uiPriority w:val="99"/>
    <w:unhideWhenUsed/>
    <w:rsid w:val="002412F3"/>
    <w:rPr>
      <w:vertAlign w:val="superscript"/>
    </w:rPr>
  </w:style>
  <w:style w:type="paragraph" w:styleId="Header">
    <w:name w:val="header"/>
    <w:basedOn w:val="Normal"/>
    <w:link w:val="HeaderChar"/>
    <w:uiPriority w:val="99"/>
    <w:unhideWhenUsed/>
    <w:rsid w:val="00D81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teka.pl/temat/Oszacow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5666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SGH</cp:lastModifiedBy>
  <cp:revision>2</cp:revision>
  <dcterms:created xsi:type="dcterms:W3CDTF">2023-06-27T12:17:00Z</dcterms:created>
  <dcterms:modified xsi:type="dcterms:W3CDTF">2023-06-27T12:17:00Z</dcterms:modified>
</cp:coreProperties>
</file>